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6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/>
                <w:color w:val="FF0000"/>
                <w:kern w:val="0"/>
                <w:sz w:val="24"/>
                <w:szCs w:val="24"/>
                <w:lang w:val="ru-RU" w:eastAsia="ru-RU" w:bidi="ar-SA"/>
              </w:rPr>
              <w:t>Совет безопасности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pacing w:before="0" w:after="0"/>
              <w:ind w:left="0" w:right="175" w:hanging="0"/>
              <w:jc w:val="both"/>
              <w:rPr>
                <w:rFonts w:eastAsia=""/>
                <w:b w:val="false"/>
                <w:bCs w:val="false"/>
                <w:kern w:val="0"/>
                <w:lang w:val="ru-RU" w:eastAsia="ru-RU" w:bidi="ar-SA"/>
              </w:rPr>
            </w:pP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у</w:t>
            </w:r>
            <w:r>
              <w:rPr>
                <w:rFonts w:eastAsia="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Об утверждении муниципальной программы «</w:t>
            </w:r>
            <w:r>
              <w:rPr>
                <w:rFonts w:eastAsia="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Развитие информационного общества в Красногвардейском районе Белгородской области</w:t>
            </w:r>
            <w:r>
              <w:rPr>
                <w:rFonts w:eastAsia="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»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309920, Красногвардейский район, г. Бирюч, пл. Соборная, д. 1, а также по адресу электронной почты: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fetisov_pa</w:t>
            </w:r>
            <w:r>
              <w:rPr>
                <w:rFonts w:eastAsia="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@</w:t>
            </w:r>
            <w:r>
              <w:rPr>
                <w:rFonts w:eastAsia="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kg.belregion</w:t>
            </w:r>
            <w:r>
              <w:rPr>
                <w:rFonts w:eastAsia="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13 декабря 2024 года по 23 декабря 2024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2024 год, который до 10.02.2025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Фетисов Павел Анатольевич начальник отдела информационного обеспечения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администрации Красногвардейского района, (47-247) 3-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23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-9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LibreOffice/7.5.6.2$Linux_X86_64 LibreOffice_project/50$Build-2</Application>
  <AppVersion>15.0000</AppVersion>
  <Pages>1</Pages>
  <Words>272</Words>
  <Characters>1957</Characters>
  <CharactersWithSpaces>2211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2024-12-24T08:28:19Z</dcterms:modified>
  <cp:revision>29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