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header3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media/image1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9214" w:leader="none"/>
        </w:tabs>
        <w:spacing w:lineRule="auto" w:line="240" w:before="0" w:after="0"/>
        <w:ind w:left="0" w:right="0" w:hanging="0"/>
        <w:contextualSpacing w:val="false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  <w:bookmarkStart w:id="0" w:name="undefined"/>
      <w:bookmarkStart w:id="1" w:name="undefined"/>
      <w:bookmarkEnd w:id="1"/>
    </w:p>
    <w:tbl>
      <w:tblPr>
        <w:tblStyle w:val="a3"/>
        <w:tblW w:w="9628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9628"/>
      </w:tblGrid>
      <w:tr>
        <w:trPr>
          <w:trHeight w:val="3990" w:hRule="atLeast"/>
        </w:trPr>
        <w:tc>
          <w:tcPr>
            <w:tcW w:w="962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contextualSpacing w:val="false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/>
              <w:drawing>
                <wp:inline distT="0" distB="0" distL="0" distR="0">
                  <wp:extent cx="500380" cy="612140"/>
                  <wp:effectExtent l="0" t="0" r="0" b="0"/>
                  <wp:docPr id="1" name="Рисунок 1" descr="Герб пос Красногвардейское_контур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Герб пос Красногвардейское_контур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380" cy="612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pacing w:lineRule="auto" w:line="240" w:before="0" w:after="0"/>
              <w:contextualSpacing w:val="false"/>
              <w:jc w:val="center"/>
              <w:rPr>
                <w:rFonts w:ascii="Calibri" w:hAnsi="Calibri" w:eastAsia="Calibri" w:cs=""/>
                <w:kern w:val="0"/>
                <w:sz w:val="16"/>
                <w:szCs w:val="16"/>
                <w:lang w:val="ru-RU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16"/>
                <w:szCs w:val="16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 w:val="false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b/>
                <w:kern w:val="0"/>
                <w:sz w:val="20"/>
                <w:szCs w:val="20"/>
                <w:lang w:val="ru-RU" w:eastAsia="en-US" w:bidi="ar-SA"/>
              </w:rPr>
              <w:t>КРАСНОГВАРДЕЙСКИЙ РАЙОН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 w:val="false"/>
              <w:jc w:val="center"/>
              <w:rPr>
                <w:rFonts w:ascii="Arial" w:hAnsi="Arial" w:eastAsia="Calibri" w:cs="Arial"/>
                <w:b/>
                <w:kern w:val="0"/>
                <w:sz w:val="12"/>
                <w:szCs w:val="12"/>
                <w:lang w:val="ru-RU" w:eastAsia="en-US" w:bidi="ar-SA"/>
              </w:rPr>
            </w:pPr>
            <w:r>
              <w:rPr>
                <w:rFonts w:eastAsia="Calibri" w:cs="Arial"/>
                <w:b/>
                <w:kern w:val="0"/>
                <w:sz w:val="12"/>
                <w:szCs w:val="12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 w:val="false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b/>
                <w:kern w:val="0"/>
                <w:sz w:val="32"/>
                <w:szCs w:val="32"/>
                <w:lang w:val="ru-RU" w:eastAsia="en-US" w:bidi="ar-SA"/>
              </w:rPr>
              <w:t xml:space="preserve">АДМИНИСТРАЦИЯ </w:t>
              <w:br/>
              <w:t xml:space="preserve">        КРАСНОГВАРДЕЙСКОГО РАЙОНА</w:t>
              <w:br/>
              <w:t xml:space="preserve">        БЕЛГОРОДСКОЙ ОБЛАСТИ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 w:val="false"/>
              <w:jc w:val="center"/>
              <w:rPr>
                <w:rFonts w:ascii="Arial" w:hAnsi="Arial" w:eastAsia="Calibri" w:cs="Arial"/>
                <w:b/>
                <w:kern w:val="0"/>
                <w:sz w:val="16"/>
                <w:szCs w:val="16"/>
                <w:lang w:val="ru-RU" w:eastAsia="en-US" w:bidi="ar-SA"/>
              </w:rPr>
            </w:pPr>
            <w:r>
              <w:rPr>
                <w:rFonts w:eastAsia="Calibri" w:cs="Arial"/>
                <w:b/>
                <w:kern w:val="0"/>
                <w:sz w:val="16"/>
                <w:szCs w:val="16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 w:val="false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kern w:val="0"/>
                <w:sz w:val="32"/>
                <w:szCs w:val="32"/>
                <w:lang w:val="ru-RU" w:eastAsia="en-US" w:bidi="ar-SA"/>
              </w:rPr>
              <w:t>ПОСТАНОВЛЕНИЕ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 w:val="false"/>
              <w:jc w:val="center"/>
              <w:rPr>
                <w:rFonts w:ascii="Arial" w:hAnsi="Arial" w:eastAsia="Calibri" w:cs="Arial"/>
                <w:kern w:val="0"/>
                <w:sz w:val="16"/>
                <w:szCs w:val="16"/>
                <w:lang w:val="ru-RU" w:eastAsia="en-US" w:bidi="ar-SA"/>
              </w:rPr>
            </w:pPr>
            <w:r>
              <w:rPr>
                <w:rFonts w:eastAsia="Calibri" w:cs="Arial"/>
                <w:kern w:val="0"/>
                <w:sz w:val="16"/>
                <w:szCs w:val="16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 w:val="false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kern w:val="0"/>
                <w:sz w:val="17"/>
                <w:szCs w:val="17"/>
                <w:lang w:val="ru-RU" w:eastAsia="en-US" w:bidi="ar-SA"/>
              </w:rPr>
              <w:t>Бирюч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 w:val="false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b/>
                <w:kern w:val="0"/>
                <w:sz w:val="18"/>
                <w:szCs w:val="18"/>
                <w:lang w:val="ru-RU" w:eastAsia="en-US" w:bidi="ar-SA"/>
              </w:rPr>
              <w:t>«_____» _________________ 20_____ г.                                                                                      №_________</w:t>
              <w:br/>
            </w:r>
          </w:p>
        </w:tc>
      </w:tr>
    </w:tbl>
    <w:p>
      <w:pPr>
        <w:pStyle w:val="Normal"/>
        <w:spacing w:lineRule="auto" w:line="240" w:before="0" w:after="0"/>
        <w:contextualSpacing w:val="fals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 w:val="fals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 w:val="fals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18"/>
        <w:gridCol w:w="4819"/>
      </w:tblGrid>
      <w:tr>
        <w:trPr/>
        <w:tc>
          <w:tcPr>
            <w:tcW w:w="4818" w:type="dxa"/>
            <w:tcBorders/>
          </w:tcPr>
          <w:p>
            <w:pPr>
              <w:pStyle w:val="Style28"/>
              <w:widowControl w:val="false"/>
              <w:suppressLineNumbers/>
              <w:suppressAutoHyphens w:val="true"/>
              <w:bidi w:val="0"/>
              <w:spacing w:lineRule="auto" w:line="240" w:before="0" w:after="0"/>
              <w:ind w:left="0" w:right="57" w:hanging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 внесении изменений в постановление администрации района от 24 декабря 2024 года № 155 «Об утверждении муниципальной программы Красногвардейского района «Формирование современной городской среды на территории Красногвардейского района»</w:t>
            </w:r>
          </w:p>
        </w:tc>
        <w:tc>
          <w:tcPr>
            <w:tcW w:w="4819" w:type="dxa"/>
            <w:tcBorders/>
          </w:tcPr>
          <w:p>
            <w:pPr>
              <w:pStyle w:val="Style28"/>
              <w:widowControl w:val="false"/>
              <w:rPr/>
            </w:pPr>
            <w:r>
              <w:rPr/>
            </w:r>
          </w:p>
        </w:tc>
      </w:tr>
    </w:tbl>
    <w:p>
      <w:pPr>
        <w:pStyle w:val="ConsPlusNormal"/>
        <w:jc w:val="center"/>
        <w:rPr>
          <w:szCs w:val="28"/>
          <w:lang w:val="ru-RU"/>
        </w:rPr>
      </w:pPr>
      <w:r>
        <w:rPr>
          <w:szCs w:val="28"/>
          <w:lang w:val="ru-RU"/>
        </w:rPr>
      </w:r>
    </w:p>
    <w:p>
      <w:pPr>
        <w:pStyle w:val="Normal"/>
        <w:tabs>
          <w:tab w:val="clear" w:pos="708"/>
          <w:tab w:val="left" w:pos="7410" w:leader="none"/>
        </w:tabs>
        <w:spacing w:lineRule="auto" w:line="240" w:before="0" w:after="0"/>
        <w:contextualSpacing w:val="fals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410" w:leader="none"/>
        </w:tabs>
        <w:spacing w:lineRule="auto" w:line="240" w:before="0" w:after="0"/>
        <w:contextualSpacing w:val="fals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675" w:leader="none"/>
        </w:tabs>
        <w:suppressAutoHyphens w:val="true"/>
        <w:bidi w:val="0"/>
        <w:spacing w:lineRule="atLeast" w:line="0" w:before="0" w:after="0"/>
        <w:ind w:left="0" w:right="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  <w:r>
        <w:rPr>
          <w:rStyle w:val="12"/>
          <w:rFonts w:cs="Times New Roman" w:ascii="Times New Roman" w:hAnsi="Times New Roman"/>
          <w:color w:val="000000"/>
          <w:spacing w:val="1"/>
          <w:sz w:val="28"/>
          <w:szCs w:val="28"/>
          <w:lang w:eastAsia="ru-RU"/>
        </w:rPr>
        <w:t xml:space="preserve">Во исполнение решения двадцать четвертого заседания Муниципального совета муниципального района «Красногвардейский район» Белгородской области от 29 апреля 2025 года № 5 «О внесении изменений и дополнений в решение двадцатого заседания Муниципального совета Красногвардейского района от 25 декабря 2024 года № 5 «О районном бюджете на 2025 год и плановый период 2026 и 2027 годов», в целях актуализации муниципальной программы «Формирование современной городской среды на территории Красногвардейского района» администрация района </w:t>
      </w:r>
      <w:r>
        <w:rPr>
          <w:rStyle w:val="12"/>
          <w:rFonts w:cs="Times New Roman" w:ascii="Times New Roman" w:hAnsi="Times New Roman"/>
          <w:b/>
          <w:bCs/>
          <w:color w:val="000000"/>
          <w:spacing w:val="1"/>
          <w:sz w:val="28"/>
          <w:szCs w:val="28"/>
          <w:lang w:eastAsia="ru-RU"/>
        </w:rPr>
        <w:t>п о с т а н о в л я е т</w:t>
      </w:r>
      <w:r>
        <w:rPr>
          <w:rStyle w:val="12"/>
          <w:rFonts w:cs="Times New Roman" w:ascii="Times New Roman" w:hAnsi="Times New Roman"/>
          <w:color w:val="000000"/>
          <w:spacing w:val="1"/>
          <w:sz w:val="28"/>
          <w:szCs w:val="28"/>
          <w:lang w:eastAsia="ru-RU"/>
        </w:rPr>
        <w:t>:</w:t>
      </w:r>
    </w:p>
    <w:p>
      <w:pPr>
        <w:pStyle w:val="Normal"/>
        <w:spacing w:lineRule="auto" w:line="240" w:before="0" w:after="0"/>
        <w:ind w:left="0" w:right="0" w:firstLine="709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1. </w:t>
      </w:r>
      <w:r>
        <w:rPr>
          <w:rFonts w:cs="Times New Roman" w:ascii="Times New Roman" w:hAnsi="Times New Roman"/>
          <w:sz w:val="28"/>
          <w:szCs w:val="28"/>
        </w:rPr>
        <w:t xml:space="preserve">Внести в постановление администрации района от 24 декабря 2024 года        </w:t>
      </w:r>
    </w:p>
    <w:p>
      <w:pPr>
        <w:pStyle w:val="Normal"/>
        <w:spacing w:lineRule="auto" w:line="240" w:before="0" w:after="0"/>
        <w:ind w:left="0" w:right="0" w:hanging="0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№ </w:t>
      </w:r>
      <w:r>
        <w:rPr>
          <w:rFonts w:cs="Times New Roman" w:ascii="Times New Roman" w:hAnsi="Times New Roman"/>
          <w:sz w:val="28"/>
          <w:szCs w:val="28"/>
        </w:rPr>
        <w:t>155 «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Об утверждении муниципальной программы Красногвардейского района «Формирование современной городской среды на территории Красногвардейского района</w:t>
      </w:r>
      <w:r>
        <w:rPr>
          <w:rFonts w:cs="Times New Roman" w:ascii="Times New Roman" w:hAnsi="Times New Roman"/>
          <w:sz w:val="28"/>
          <w:szCs w:val="28"/>
        </w:rPr>
        <w:t>» следующие изменения:</w:t>
      </w:r>
    </w:p>
    <w:p>
      <w:pPr>
        <w:pStyle w:val="Normal"/>
        <w:spacing w:lineRule="auto" w:line="240" w:before="0" w:after="0"/>
        <w:ind w:left="0" w:right="0" w:firstLine="709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муниципальную программу «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Формирование современной городской среды на территории Красногвардейского района</w:t>
      </w:r>
      <w:r>
        <w:rPr>
          <w:rFonts w:cs="Times New Roman" w:ascii="Times New Roman" w:hAnsi="Times New Roman"/>
          <w:sz w:val="28"/>
          <w:szCs w:val="28"/>
        </w:rPr>
        <w:t>», утвержденную в пункте 1 постановления, изложить в редакции согласно приложению к настоящему постановлению.</w:t>
      </w:r>
    </w:p>
    <w:p>
      <w:pPr>
        <w:pStyle w:val="Normal"/>
        <w:ind w:left="0" w:right="340" w:firstLine="737"/>
        <w:jc w:val="both"/>
        <w:rPr/>
      </w:pPr>
      <w:r>
        <w:rPr>
          <w:rStyle w:val="12"/>
          <w:rFonts w:eastAsia="Calibri" w:cs="Times New Roman" w:ascii="Times New Roman" w:hAnsi="Times New Roman"/>
          <w:color w:val="000000"/>
          <w:sz w:val="28"/>
          <w:szCs w:val="28"/>
          <w:lang w:eastAsia="ru-RU"/>
        </w:rPr>
        <w:t xml:space="preserve">2. Признать утратившим силу постановление администрации Красногвардейского района № </w:t>
      </w:r>
      <w:r>
        <w:rPr>
          <w:rStyle w:val="12"/>
          <w:rFonts w:eastAsia="Calibri" w:cs="Times New Roman" w:ascii="Times New Roman" w:hAnsi="Times New Roman"/>
          <w:color w:val="000000"/>
          <w:sz w:val="28"/>
          <w:szCs w:val="28"/>
          <w:lang w:eastAsia="ru-RU"/>
        </w:rPr>
        <w:t>37</w:t>
      </w:r>
      <w:r>
        <w:rPr>
          <w:rStyle w:val="12"/>
          <w:rFonts w:eastAsia="Calibri" w:cs="Times New Roman" w:ascii="Times New Roman" w:hAnsi="Times New Roman"/>
          <w:color w:val="000000"/>
          <w:sz w:val="28"/>
          <w:szCs w:val="28"/>
          <w:lang w:eastAsia="ru-RU"/>
        </w:rPr>
        <w:t xml:space="preserve"> от </w:t>
      </w:r>
      <w:r>
        <w:rPr>
          <w:rStyle w:val="12"/>
          <w:rFonts w:eastAsia="Calibri" w:cs="Times New Roman" w:ascii="Times New Roman" w:hAnsi="Times New Roman"/>
          <w:color w:val="000000"/>
          <w:sz w:val="28"/>
          <w:szCs w:val="28"/>
          <w:lang w:eastAsia="ru-RU"/>
        </w:rPr>
        <w:t>01</w:t>
      </w:r>
      <w:r>
        <w:rPr>
          <w:rStyle w:val="12"/>
          <w:rFonts w:eastAsia="Calibri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Style w:val="12"/>
          <w:rFonts w:eastAsia="Calibri" w:cs="Times New Roman" w:ascii="Times New Roman" w:hAnsi="Times New Roman"/>
          <w:color w:val="000000"/>
          <w:sz w:val="28"/>
          <w:szCs w:val="28"/>
          <w:lang w:eastAsia="ru-RU"/>
        </w:rPr>
        <w:t>апреля</w:t>
      </w:r>
      <w:r>
        <w:rPr>
          <w:rStyle w:val="12"/>
          <w:rFonts w:eastAsia="Calibri" w:cs="Times New Roman" w:ascii="Times New Roman" w:hAnsi="Times New Roman"/>
          <w:color w:val="000000"/>
          <w:sz w:val="28"/>
          <w:szCs w:val="28"/>
          <w:lang w:eastAsia="ru-RU"/>
        </w:rPr>
        <w:t xml:space="preserve"> 2025 года </w:t>
      </w:r>
      <w:r>
        <w:rPr>
          <w:rStyle w:val="12"/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>«О внесении изменений в постановление администрации района от 24 декабря 2024 года № 155 «Об утверждении муниципальной программы Красногвардейского района «Формирование современной городской среды на территории Красногвардейского района»;</w:t>
      </w:r>
    </w:p>
    <w:p>
      <w:pPr>
        <w:pStyle w:val="Normal"/>
        <w:spacing w:lineRule="auto" w:line="240" w:before="0" w:after="0"/>
        <w:ind w:left="0" w:right="0" w:firstLine="709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ascii="Times New Roman" w:hAnsi="Times New Roman"/>
          <w:sz w:val="28"/>
          <w:szCs w:val="28"/>
          <w:lang w:eastAsia="ru-RU"/>
        </w:rPr>
        <w:t>3</w:t>
      </w:r>
      <w:r>
        <w:rPr>
          <w:rFonts w:eastAsia="Calibri" w:ascii="Times New Roman" w:hAnsi="Times New Roman"/>
          <w:sz w:val="28"/>
          <w:szCs w:val="28"/>
          <w:lang w:eastAsia="ru-RU"/>
        </w:rPr>
        <w:t>. Контроль за исполнением настоящего постановления возложить на начальника управления строительства и ЖКХ администрации Красногвардейского района Лобачева Р.Н.</w:t>
      </w:r>
    </w:p>
    <w:p>
      <w:pPr>
        <w:pStyle w:val="Normal"/>
        <w:spacing w:lineRule="auto" w:line="240" w:before="0" w:after="0"/>
        <w:ind w:left="0" w:right="0" w:firstLine="709"/>
        <w:contextualSpacing w:val="fals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 w:val="fals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75"/>
        <w:gridCol w:w="4762"/>
      </w:tblGrid>
      <w:tr>
        <w:trPr/>
        <w:tc>
          <w:tcPr>
            <w:tcW w:w="4875" w:type="dxa"/>
            <w:tcBorders/>
          </w:tcPr>
          <w:p>
            <w:pPr>
              <w:pStyle w:val="Style28"/>
              <w:widowControl w:val="false"/>
              <w:suppressLineNumbers/>
              <w:tabs>
                <w:tab w:val="clear" w:pos="708"/>
                <w:tab w:val="left" w:pos="4588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Глава администрации Красногвардейского района</w:t>
            </w:r>
          </w:p>
        </w:tc>
        <w:tc>
          <w:tcPr>
            <w:tcW w:w="4762" w:type="dxa"/>
            <w:tcBorders/>
          </w:tcPr>
          <w:p>
            <w:pPr>
              <w:pStyle w:val="Style28"/>
              <w:widowControl w:val="false"/>
              <w:spacing w:lineRule="auto" w:line="240" w:before="0"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pStyle w:val="Style28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Г.И. Руденко</w:t>
            </w:r>
          </w:p>
        </w:tc>
      </w:tr>
    </w:tbl>
    <w:p>
      <w:pPr>
        <w:sectPr>
          <w:headerReference w:type="default" r:id="rId3"/>
          <w:type w:val="nextPage"/>
          <w:pgSz w:w="11906" w:h="16838"/>
          <w:pgMar w:left="1701" w:right="567" w:gutter="0" w:header="1134" w:top="1559" w:footer="0" w:bottom="1134"/>
          <w:pgNumType w:fmt="decimal"/>
          <w:formProt w:val="false"/>
          <w:titlePg/>
          <w:textDirection w:val="lrTb"/>
          <w:docGrid w:type="default" w:linePitch="360" w:charSpace="0"/>
        </w:sectPr>
      </w:pPr>
      <w:r>
        <w:br w:type="page"/>
      </w:r>
    </w:p>
    <w:tbl>
      <w:tblPr>
        <w:tblStyle w:val="af4"/>
        <w:tblW w:w="1457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8838"/>
        <w:gridCol w:w="5736"/>
      </w:tblGrid>
      <w:tr>
        <w:trPr/>
        <w:tc>
          <w:tcPr>
            <w:tcW w:w="88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7937" w:right="0" w:firstLine="680"/>
              <w:contextualSpacing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7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/>
            </w:pPr>
            <w:r>
              <w:rPr>
                <w:rFonts w:cs="Times New Roman" w:ascii="Times New Roman" w:hAnsi="Times New Roman"/>
                <w:b/>
                <w:kern w:val="0"/>
                <w:sz w:val="28"/>
                <w:szCs w:val="28"/>
                <w:lang w:val="ru-RU" w:bidi="ar-SA"/>
              </w:rPr>
              <w:t>П</w:t>
            </w: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  <w:lang w:val="ru-RU" w:bidi="ar-SA"/>
              </w:rPr>
              <w:t xml:space="preserve">риложение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  <w:lang w:val="ru-RU" w:bidi="ar-SA"/>
              </w:rPr>
              <w:t xml:space="preserve">        </w:t>
            </w: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  <w:lang w:val="ru-RU" w:bidi="ar-SA"/>
              </w:rPr>
              <w:t>к постановлению администрации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  <w:lang w:val="ru-RU" w:bidi="ar-SA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  <w:lang w:val="ru-RU" w:bidi="ar-SA"/>
              </w:rPr>
              <w:t>Красногвардейского района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  <w:lang w:val="ru-RU" w:bidi="ar-SA"/>
              </w:rPr>
              <w:t xml:space="preserve">от «____» ____________ 2025 года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  <w:lang w:val="ru-RU" w:bidi="ar-SA"/>
              </w:rPr>
              <w:t>№</w:t>
            </w: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  <w:lang w:val="ru-RU" w:bidi="ar-SA"/>
              </w:rPr>
              <w:t>_______</w:t>
            </w:r>
          </w:p>
        </w:tc>
      </w:tr>
    </w:tbl>
    <w:p>
      <w:pPr>
        <w:pStyle w:val="Normal"/>
        <w:spacing w:lineRule="auto" w:line="240" w:before="0" w:after="0"/>
        <w:contextualSpacing w:val="false"/>
        <w:jc w:val="right"/>
        <w:rPr/>
      </w:pPr>
      <w:r>
        <w:rPr/>
      </w:r>
    </w:p>
    <w:p>
      <w:pPr>
        <w:pStyle w:val="Normal"/>
        <w:spacing w:lineRule="auto" w:line="24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</w:rPr>
        <w:t>II. Паспорт муниципальной программы Красногвардейского района</w:t>
      </w:r>
    </w:p>
    <w:p>
      <w:pPr>
        <w:pStyle w:val="ConsPlusNormal"/>
        <w:jc w:val="center"/>
        <w:rPr>
          <w:rFonts w:ascii="Times New Roman" w:hAnsi="Times New Roman"/>
        </w:rPr>
      </w:pPr>
      <w:r>
        <w:rPr>
          <w:rFonts w:cs="Tinos"/>
          <w:b/>
          <w:lang w:val="ru-RU"/>
        </w:rPr>
        <w:t>«Формирование современной городской среды на территории Красногвардейского района»</w:t>
      </w:r>
    </w:p>
    <w:p>
      <w:pPr>
        <w:pStyle w:val="ConsPlusNormal"/>
        <w:jc w:val="center"/>
        <w:rPr>
          <w:rFonts w:ascii="Times New Roman" w:hAnsi="Times New Roman"/>
        </w:rPr>
      </w:pPr>
      <w:r>
        <w:rPr/>
      </w:r>
    </w:p>
    <w:p>
      <w:pPr>
        <w:pStyle w:val="Normal"/>
        <w:spacing w:lineRule="exact" w:line="240" w:before="0" w:after="0"/>
        <w:contextualSpacing w:val="false"/>
        <w:jc w:val="center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</w:rPr>
        <w:t>1. Основные положения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tbl>
      <w:tblPr>
        <w:tblStyle w:val="af4"/>
        <w:tblW w:w="14297" w:type="dxa"/>
        <w:jc w:val="left"/>
        <w:tblInd w:w="0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noVBand="1" w:val="04a0" w:noHBand="0" w:lastColumn="0" w:firstColumn="1" w:lastRow="0" w:firstRow="1"/>
      </w:tblPr>
      <w:tblGrid>
        <w:gridCol w:w="5613"/>
        <w:gridCol w:w="5761"/>
        <w:gridCol w:w="2923"/>
      </w:tblGrid>
      <w:tr>
        <w:trPr>
          <w:trHeight w:val="569" w:hRule="atLeast"/>
        </w:trPr>
        <w:tc>
          <w:tcPr>
            <w:tcW w:w="5613" w:type="dxa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b w:val="false"/>
                <w:bCs w:val="false"/>
                <w:sz w:val="24"/>
                <w:szCs w:val="24"/>
              </w:rPr>
            </w:pPr>
            <w:r>
              <w:rPr>
                <w:rFonts w:cs="Tinos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bidi="ar-SA"/>
              </w:rPr>
              <w:t>Ответственный исполнитель муниципальной программы (комплексной программы)</w:t>
            </w:r>
          </w:p>
        </w:tc>
        <w:tc>
          <w:tcPr>
            <w:tcW w:w="8684" w:type="dxa"/>
            <w:gridSpan w:val="2"/>
            <w:tcBorders/>
          </w:tcPr>
          <w:p>
            <w:pPr>
              <w:pStyle w:val="Normal"/>
              <w:widowControl w:val="false"/>
              <w:shd w:val="clear" w:color="FFFFFF" w:themeColor="background1" w:fill="FFFFFF" w:themeFill="background1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highlight w:val="white"/>
                <w:shd w:fill="FFD821" w:val="clear"/>
                <w:lang w:val="ru-RU" w:bidi="ar-SA"/>
              </w:rPr>
              <w:t>Лобачев Р.Н. - начальник управления строительства и ЖКХ администрации района</w:t>
            </w:r>
          </w:p>
        </w:tc>
      </w:tr>
      <w:tr>
        <w:trPr/>
        <w:tc>
          <w:tcPr>
            <w:tcW w:w="5613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b w:val="false"/>
                <w:bCs w:val="false"/>
                <w:sz w:val="24"/>
                <w:szCs w:val="24"/>
              </w:rPr>
            </w:pPr>
            <w:r>
              <w:rPr>
                <w:rFonts w:cs="Tinos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bidi="ar-SA"/>
              </w:rPr>
              <w:t>Период реализации муниципальной программы (комплексной программы)</w:t>
            </w:r>
          </w:p>
        </w:tc>
        <w:tc>
          <w:tcPr>
            <w:tcW w:w="8684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2025-2030 годы</w:t>
            </w:r>
          </w:p>
        </w:tc>
      </w:tr>
      <w:tr>
        <w:trPr/>
        <w:tc>
          <w:tcPr>
            <w:tcW w:w="5613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b w:val="false"/>
                <w:bCs w:val="false"/>
                <w:sz w:val="24"/>
                <w:szCs w:val="24"/>
              </w:rPr>
            </w:pPr>
            <w:r>
              <w:rPr>
                <w:rFonts w:cs="Tinos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bidi="ar-SA"/>
              </w:rPr>
              <w:t>Цели муниципальной программы (комплексной программы)</w:t>
            </w:r>
          </w:p>
        </w:tc>
        <w:tc>
          <w:tcPr>
            <w:tcW w:w="8684" w:type="dxa"/>
            <w:gridSpan w:val="2"/>
            <w:tcBorders>
              <w:top w:val="nil"/>
            </w:tcBorders>
          </w:tcPr>
          <w:p>
            <w:pPr>
              <w:pStyle w:val="Style22"/>
              <w:widowControl w:val="false"/>
              <w:ind w:left="0" w:right="0" w:hanging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Повышение к 2030 году качества городской среды территории муниципального образования к уровню 2019 года на 30 процентов</w:t>
            </w:r>
          </w:p>
        </w:tc>
      </w:tr>
      <w:tr>
        <w:trPr>
          <w:trHeight w:val="632" w:hRule="atLeast"/>
        </w:trPr>
        <w:tc>
          <w:tcPr>
            <w:tcW w:w="5613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b w:val="false"/>
                <w:bCs w:val="false"/>
                <w:sz w:val="24"/>
                <w:szCs w:val="24"/>
              </w:rPr>
            </w:pPr>
            <w:r>
              <w:rPr>
                <w:rFonts w:cs="Tinos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bidi="ar-SA"/>
              </w:rPr>
              <w:t>Направления (подпрограммы) муниципальной программы (комплексной программы)</w:t>
            </w:r>
          </w:p>
        </w:tc>
        <w:tc>
          <w:tcPr>
            <w:tcW w:w="8684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shd w:fill="auto" w:val="clear"/>
                <w:lang w:val="ru-RU" w:bidi="ar-SA"/>
              </w:rPr>
              <w:t>Направления (подпрограммы) не выделяются</w:t>
            </w:r>
          </w:p>
        </w:tc>
      </w:tr>
      <w:tr>
        <w:trPr/>
        <w:tc>
          <w:tcPr>
            <w:tcW w:w="5613" w:type="dxa"/>
            <w:vMerge w:val="restart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5761" w:type="dxa"/>
            <w:tcBorders>
              <w:right w:val="nil"/>
            </w:tcBorders>
          </w:tcPr>
          <w:p>
            <w:pPr>
              <w:pStyle w:val="Style22"/>
              <w:widowControl w:val="fals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923" w:type="dxa"/>
            <w:tcBorders/>
          </w:tcPr>
          <w:p>
            <w:pPr>
              <w:pStyle w:val="Style22"/>
              <w:widowControl w:val="fals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Объемы финансового обеспечения, тыс. рублей</w:t>
            </w:r>
          </w:p>
        </w:tc>
      </w:tr>
      <w:tr>
        <w:trPr/>
        <w:tc>
          <w:tcPr>
            <w:tcW w:w="5613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5761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Муниципальный бюджет (всего), из них:</w:t>
            </w:r>
          </w:p>
        </w:tc>
        <w:tc>
          <w:tcPr>
            <w:tcW w:w="292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shd w:fill="auto" w:val="clear"/>
                <w:lang w:val="ru-RU" w:bidi="ar-SA"/>
              </w:rPr>
              <w:t>82608,65</w:t>
            </w:r>
          </w:p>
        </w:tc>
      </w:tr>
      <w:tr>
        <w:trPr>
          <w:trHeight w:val="253" w:hRule="atLeast"/>
        </w:trPr>
        <w:tc>
          <w:tcPr>
            <w:tcW w:w="5613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5761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left="0" w:right="0" w:hanging="0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межбюджетные трансферты из федерального бюджета (справочно)  </w:t>
            </w:r>
          </w:p>
        </w:tc>
        <w:tc>
          <w:tcPr>
            <w:tcW w:w="29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113" w:hanging="0"/>
              <w:contextualSpacing w:val="false"/>
              <w:jc w:val="center"/>
              <w:rPr>
                <w:sz w:val="24"/>
                <w:szCs w:val="24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0</w:t>
            </w:r>
          </w:p>
        </w:tc>
      </w:tr>
      <w:tr>
        <w:trPr>
          <w:trHeight w:val="253" w:hRule="atLeast"/>
        </w:trPr>
        <w:tc>
          <w:tcPr>
            <w:tcW w:w="5613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5761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left="0" w:right="0" w:hanging="0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межбюджетные трансферты из областного бюджета (справочно)  </w:t>
            </w:r>
          </w:p>
        </w:tc>
        <w:tc>
          <w:tcPr>
            <w:tcW w:w="292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center"/>
              <w:rPr>
                <w:sz w:val="24"/>
                <w:szCs w:val="24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3548,800</w:t>
            </w:r>
          </w:p>
        </w:tc>
      </w:tr>
      <w:tr>
        <w:trPr>
          <w:trHeight w:val="253" w:hRule="atLeast"/>
        </w:trPr>
        <w:tc>
          <w:tcPr>
            <w:tcW w:w="5613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5761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left="0" w:right="0" w:hanging="0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Бюджет муниципального образования</w:t>
            </w:r>
          </w:p>
        </w:tc>
        <w:tc>
          <w:tcPr>
            <w:tcW w:w="292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center"/>
              <w:rPr>
                <w:sz w:val="24"/>
                <w:szCs w:val="24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shd w:fill="auto" w:val="clear"/>
                <w:lang w:val="ru-RU" w:bidi="ar-SA"/>
              </w:rPr>
              <w:t>69059,850</w:t>
            </w:r>
          </w:p>
        </w:tc>
      </w:tr>
      <w:tr>
        <w:trPr/>
        <w:tc>
          <w:tcPr>
            <w:tcW w:w="5613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b w:val="false"/>
                <w:bCs w:val="false"/>
                <w:sz w:val="24"/>
                <w:szCs w:val="24"/>
              </w:rPr>
            </w:pPr>
            <w:r>
              <w:rPr>
                <w:rFonts w:cs="Tinos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bidi="ar-SA"/>
              </w:rPr>
              <w:t>Связь с национальными целями развития Российской Федерации/ государственными программами Российской Федерации</w:t>
            </w:r>
          </w:p>
        </w:tc>
        <w:tc>
          <w:tcPr>
            <w:tcW w:w="8684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1. Национальная цель «Комфортная и безопасная среда для жизни»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Показатель 1 «Благоустройство не менее 30 тыс. общественных территорий и реализации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году».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2. Государственная программа  Российской Федерации «Обеспечение доступным и комфортным жильем и коммунальными услугами граждан Российской Федерации»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Показатель 1 «Повышение в полтора раза комфортности городской среды, в том числе общественных пространств, к 2030 году»</w:t>
            </w:r>
          </w:p>
        </w:tc>
      </w:tr>
      <w:tr>
        <w:trPr/>
        <w:tc>
          <w:tcPr>
            <w:tcW w:w="5613" w:type="dxa"/>
            <w:vMerge w:val="restart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b w:val="false"/>
                <w:bCs w:val="false"/>
                <w:sz w:val="24"/>
                <w:szCs w:val="24"/>
              </w:rPr>
            </w:pPr>
            <w:r>
              <w:rPr>
                <w:rFonts w:cs="Tinos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bidi="ar-SA"/>
              </w:rPr>
              <w:t>Связь с национальными целями развития Белгородской области / стратегическими приоритетами Белгородской области</w:t>
            </w:r>
          </w:p>
        </w:tc>
        <w:tc>
          <w:tcPr>
            <w:tcW w:w="8684" w:type="dxa"/>
            <w:gridSpan w:val="2"/>
            <w:tcBorders/>
            <w:tcMar>
              <w:top w:w="0" w:type="dxa"/>
              <w:bottom w:w="0" w:type="dxa"/>
            </w:tcMar>
          </w:tcPr>
          <w:p>
            <w:pPr>
              <w:pStyle w:val="Style22"/>
              <w:widowControl w:val="false"/>
              <w:suppressAutoHyphens w:val="true"/>
              <w:spacing w:before="0" w:after="40"/>
              <w:ind w:left="0" w:right="0" w:hanging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1. Стратегическая цель Белгородской области до 2030 года «Обеспечение устойчивости и сбалансированности пространственного развития Белгородской области, направленных на сокращение внутрирегиональных различий в уровне и качестве жизни населения, на ускорение темпов экономического роста и технологического развития»  («Развитие городских агломераций»).</w:t>
            </w:r>
          </w:p>
          <w:p>
            <w:pPr>
              <w:pStyle w:val="Style22"/>
              <w:widowControl w:val="false"/>
              <w:suppressAutoHyphens w:val="true"/>
              <w:spacing w:before="0" w:after="40"/>
              <w:ind w:left="0" w:right="0" w:hanging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2. Приоритет «Сбалансированное пространственное развитие».</w:t>
            </w:r>
          </w:p>
          <w:p>
            <w:pPr>
              <w:pStyle w:val="Style22"/>
              <w:widowControl w:val="false"/>
              <w:suppressAutoHyphens w:val="true"/>
              <w:spacing w:before="0" w:after="40"/>
              <w:ind w:left="0" w:right="0" w:hanging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2.1. Показатель «Прирост среднего индекса качества городской среды по отношению к 2019 году на 30 процентов».</w:t>
            </w:r>
          </w:p>
        </w:tc>
      </w:tr>
      <w:tr>
        <w:trPr/>
        <w:tc>
          <w:tcPr>
            <w:tcW w:w="5613" w:type="dxa"/>
            <w:vMerge w:val="continue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b/>
                <w:sz w:val="26"/>
              </w:rPr>
            </w:pPr>
            <w:r>
              <w:rPr>
                <w:rFonts w:cs="Tinos" w:ascii="Times New Roman" w:hAnsi="Times New Roman"/>
                <w:b/>
                <w:sz w:val="26"/>
              </w:rPr>
            </w:r>
          </w:p>
        </w:tc>
        <w:tc>
          <w:tcPr>
            <w:tcW w:w="8684" w:type="dxa"/>
            <w:gridSpan w:val="2"/>
            <w:tcBorders/>
            <w:tcMar>
              <w:top w:w="0" w:type="dxa"/>
              <w:bottom w:w="0" w:type="dxa"/>
            </w:tcMar>
          </w:tcPr>
          <w:p>
            <w:pPr>
              <w:pStyle w:val="Style22"/>
              <w:widowControl w:val="false"/>
              <w:suppressAutoHyphens w:val="true"/>
              <w:spacing w:before="0" w:after="40"/>
              <w:ind w:left="0" w:right="0" w:hanging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3. Стратегическая цель Красногвардейского района «Повышение уровня благоустройства качества и комфорта дворовых, общественных и иных территорий Красногвардейского района».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cs="Tinos"/>
        </w:rPr>
      </w:pPr>
      <w:r>
        <w:rPr>
          <w:rFonts w:cs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</w:rPr>
        <w:t>2. Показатели муниципальной программы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tbl>
      <w:tblPr>
        <w:tblStyle w:val="af4"/>
        <w:tblW w:w="15363" w:type="dxa"/>
        <w:jc w:val="left"/>
        <w:tblInd w:w="-974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noVBand="1" w:val="04a0" w:noHBand="0" w:lastColumn="0" w:firstColumn="1" w:lastRow="0" w:firstRow="1"/>
      </w:tblPr>
      <w:tblGrid>
        <w:gridCol w:w="425"/>
        <w:gridCol w:w="2080"/>
        <w:gridCol w:w="882"/>
        <w:gridCol w:w="811"/>
        <w:gridCol w:w="870"/>
        <w:gridCol w:w="722"/>
        <w:gridCol w:w="644"/>
        <w:gridCol w:w="691"/>
        <w:gridCol w:w="719"/>
        <w:gridCol w:w="691"/>
        <w:gridCol w:w="644"/>
        <w:gridCol w:w="659"/>
        <w:gridCol w:w="536"/>
        <w:gridCol w:w="1389"/>
        <w:gridCol w:w="1125"/>
        <w:gridCol w:w="1135"/>
        <w:gridCol w:w="1340"/>
      </w:tblGrid>
      <w:tr>
        <w:trPr/>
        <w:tc>
          <w:tcPr>
            <w:tcW w:w="425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п/п</w:t>
            </w:r>
          </w:p>
        </w:tc>
        <w:tc>
          <w:tcPr>
            <w:tcW w:w="2080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15"/>
              </w:rPr>
            </w:pPr>
            <w:r>
              <w:rPr>
                <w:rFonts w:cs="Tinos" w:ascii="Times New Roman" w:hAnsi="Times New Roman"/>
                <w:b/>
                <w:bCs/>
                <w:sz w:val="15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Наименование показателя</w:t>
            </w:r>
          </w:p>
        </w:tc>
        <w:tc>
          <w:tcPr>
            <w:tcW w:w="882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15"/>
              </w:rPr>
            </w:pPr>
            <w:r>
              <w:rPr>
                <w:rFonts w:cs="Tinos" w:ascii="Times New Roman" w:hAnsi="Times New Roman"/>
                <w:b/>
                <w:bCs/>
                <w:sz w:val="15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Уровень показателя</w:t>
            </w:r>
          </w:p>
        </w:tc>
        <w:tc>
          <w:tcPr>
            <w:tcW w:w="811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Признак возраста ния/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убыва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ния</w:t>
            </w:r>
          </w:p>
        </w:tc>
        <w:tc>
          <w:tcPr>
            <w:tcW w:w="870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Единица измерения (по ОКЕИ)</w:t>
            </w:r>
          </w:p>
        </w:tc>
        <w:tc>
          <w:tcPr>
            <w:tcW w:w="1366" w:type="dxa"/>
            <w:gridSpan w:val="2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Базовое значение</w:t>
            </w:r>
          </w:p>
        </w:tc>
        <w:tc>
          <w:tcPr>
            <w:tcW w:w="3940" w:type="dxa"/>
            <w:gridSpan w:val="6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Значения показателя по годам</w:t>
            </w:r>
          </w:p>
        </w:tc>
        <w:tc>
          <w:tcPr>
            <w:tcW w:w="1389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Документ</w:t>
            </w:r>
          </w:p>
        </w:tc>
        <w:tc>
          <w:tcPr>
            <w:tcW w:w="1125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Ответственный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за достижение показателя</w:t>
            </w:r>
          </w:p>
        </w:tc>
        <w:tc>
          <w:tcPr>
            <w:tcW w:w="1135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Связь с показателями национальных целей</w:t>
            </w:r>
          </w:p>
        </w:tc>
        <w:tc>
          <w:tcPr>
            <w:tcW w:w="1340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Связь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с показателями государственной программы Белгородской области</w:t>
            </w:r>
          </w:p>
        </w:tc>
      </w:tr>
      <w:tr>
        <w:trPr/>
        <w:tc>
          <w:tcPr>
            <w:tcW w:w="425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</w:rPr>
            </w:r>
          </w:p>
        </w:tc>
        <w:tc>
          <w:tcPr>
            <w:tcW w:w="2080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</w:rPr>
            </w:r>
          </w:p>
        </w:tc>
        <w:tc>
          <w:tcPr>
            <w:tcW w:w="882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</w:rPr>
            </w:r>
          </w:p>
        </w:tc>
        <w:tc>
          <w:tcPr>
            <w:tcW w:w="811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</w:rPr>
            </w:r>
          </w:p>
        </w:tc>
        <w:tc>
          <w:tcPr>
            <w:tcW w:w="870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</w:rPr>
            </w:r>
          </w:p>
        </w:tc>
        <w:tc>
          <w:tcPr>
            <w:tcW w:w="722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значение</w:t>
            </w:r>
          </w:p>
        </w:tc>
        <w:tc>
          <w:tcPr>
            <w:tcW w:w="644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15"/>
              </w:rPr>
            </w:pPr>
            <w:r>
              <w:rPr>
                <w:rFonts w:cs="Tinos" w:ascii="Times New Roman" w:hAnsi="Times New Roman"/>
                <w:b/>
                <w:bCs/>
                <w:sz w:val="15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год</w:t>
            </w:r>
          </w:p>
        </w:tc>
        <w:tc>
          <w:tcPr>
            <w:tcW w:w="691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15"/>
                <w:szCs w:val="15"/>
              </w:rPr>
            </w:pPr>
            <w:r>
              <w:rPr>
                <w:rFonts w:cs="Tinos" w:ascii="Times New Roman" w:hAnsi="Times New Roman"/>
                <w:b/>
                <w:bCs/>
                <w:sz w:val="15"/>
                <w:szCs w:val="15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szCs w:val="15"/>
                <w:lang w:val="ru-RU" w:bidi="ar-SA"/>
              </w:rPr>
              <w:t>2025</w:t>
            </w:r>
          </w:p>
        </w:tc>
        <w:tc>
          <w:tcPr>
            <w:tcW w:w="719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15"/>
              </w:rPr>
            </w:pPr>
            <w:r>
              <w:rPr>
                <w:rFonts w:cs="Tinos" w:ascii="Times New Roman" w:hAnsi="Times New Roman"/>
                <w:b/>
                <w:bCs/>
                <w:sz w:val="15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2026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15"/>
              </w:rPr>
            </w:pPr>
            <w:r>
              <w:rPr>
                <w:rFonts w:cs="Tinos" w:ascii="Times New Roman" w:hAnsi="Times New Roman"/>
                <w:b/>
                <w:bCs/>
                <w:sz w:val="15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2027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2028</w:t>
            </w:r>
          </w:p>
        </w:tc>
        <w:tc>
          <w:tcPr>
            <w:tcW w:w="65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2029</w:t>
            </w:r>
          </w:p>
        </w:tc>
        <w:tc>
          <w:tcPr>
            <w:tcW w:w="53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2030</w:t>
            </w:r>
          </w:p>
        </w:tc>
        <w:tc>
          <w:tcPr>
            <w:tcW w:w="1389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15"/>
                <w:szCs w:val="15"/>
              </w:rPr>
            </w:pPr>
            <w:r>
              <w:rPr>
                <w:rFonts w:cs="Tinos" w:ascii="Times New Roman" w:hAnsi="Times New Roman"/>
                <w:b/>
                <w:bCs/>
                <w:sz w:val="15"/>
                <w:szCs w:val="15"/>
              </w:rPr>
            </w:r>
          </w:p>
        </w:tc>
        <w:tc>
          <w:tcPr>
            <w:tcW w:w="1125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15"/>
                <w:szCs w:val="15"/>
              </w:rPr>
            </w:pPr>
            <w:r>
              <w:rPr>
                <w:rFonts w:cs="Tinos" w:ascii="Times New Roman" w:hAnsi="Times New Roman"/>
                <w:b/>
                <w:bCs/>
                <w:sz w:val="15"/>
                <w:szCs w:val="15"/>
              </w:rPr>
            </w:r>
          </w:p>
        </w:tc>
        <w:tc>
          <w:tcPr>
            <w:tcW w:w="1135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15"/>
                <w:szCs w:val="15"/>
              </w:rPr>
            </w:pPr>
            <w:r>
              <w:rPr>
                <w:rFonts w:cs="Tinos" w:ascii="Times New Roman" w:hAnsi="Times New Roman"/>
                <w:b/>
                <w:bCs/>
                <w:sz w:val="15"/>
                <w:szCs w:val="15"/>
              </w:rPr>
            </w:r>
          </w:p>
        </w:tc>
        <w:tc>
          <w:tcPr>
            <w:tcW w:w="1340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15"/>
                <w:szCs w:val="15"/>
              </w:rPr>
            </w:pPr>
            <w:r>
              <w:rPr>
                <w:rFonts w:cs="Tinos" w:ascii="Times New Roman" w:hAnsi="Times New Roman"/>
                <w:b/>
                <w:bCs/>
                <w:sz w:val="15"/>
                <w:szCs w:val="15"/>
              </w:rPr>
            </w:r>
          </w:p>
        </w:tc>
      </w:tr>
      <w:tr>
        <w:trPr/>
        <w:tc>
          <w:tcPr>
            <w:tcW w:w="42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1</w:t>
            </w:r>
          </w:p>
        </w:tc>
        <w:tc>
          <w:tcPr>
            <w:tcW w:w="2080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2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3</w:t>
            </w:r>
          </w:p>
        </w:tc>
        <w:tc>
          <w:tcPr>
            <w:tcW w:w="81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4</w:t>
            </w:r>
          </w:p>
        </w:tc>
        <w:tc>
          <w:tcPr>
            <w:tcW w:w="870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5</w:t>
            </w:r>
          </w:p>
        </w:tc>
        <w:tc>
          <w:tcPr>
            <w:tcW w:w="722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6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7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8</w:t>
            </w:r>
          </w:p>
        </w:tc>
        <w:tc>
          <w:tcPr>
            <w:tcW w:w="71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9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10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11</w:t>
            </w:r>
          </w:p>
        </w:tc>
        <w:tc>
          <w:tcPr>
            <w:tcW w:w="65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12</w:t>
            </w:r>
          </w:p>
        </w:tc>
        <w:tc>
          <w:tcPr>
            <w:tcW w:w="53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13</w:t>
            </w:r>
          </w:p>
        </w:tc>
        <w:tc>
          <w:tcPr>
            <w:tcW w:w="138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14</w:t>
            </w:r>
          </w:p>
        </w:tc>
        <w:tc>
          <w:tcPr>
            <w:tcW w:w="112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15</w:t>
            </w:r>
          </w:p>
        </w:tc>
        <w:tc>
          <w:tcPr>
            <w:tcW w:w="113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16</w:t>
            </w:r>
          </w:p>
        </w:tc>
        <w:tc>
          <w:tcPr>
            <w:tcW w:w="13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17</w:t>
            </w:r>
          </w:p>
        </w:tc>
      </w:tr>
      <w:tr>
        <w:trPr>
          <w:trHeight w:val="197" w:hRule="atLeast"/>
        </w:trPr>
        <w:tc>
          <w:tcPr>
            <w:tcW w:w="15363" w:type="dxa"/>
            <w:gridSpan w:val="17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Цель «Повышение к 2030 году качества городской среды территорий муниципальных образований на территории Красногвардейского района уровню 2019 года на 30 процентов»</w:t>
            </w:r>
          </w:p>
        </w:tc>
      </w:tr>
      <w:tr>
        <w:trPr>
          <w:trHeight w:val="1919" w:hRule="atLeast"/>
        </w:trPr>
        <w:tc>
          <w:tcPr>
            <w:tcW w:w="42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080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 xml:space="preserve">Прирост среднего индекса качества городской среды </w:t>
              <w:br/>
              <w:t xml:space="preserve">по отношению </w:t>
              <w:br/>
              <w:t>к 2019 году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ГП РФ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ВДЛ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ГП</w:t>
            </w:r>
          </w:p>
        </w:tc>
        <w:tc>
          <w:tcPr>
            <w:tcW w:w="81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Прогрессирующий</w:t>
            </w:r>
          </w:p>
        </w:tc>
        <w:tc>
          <w:tcPr>
            <w:tcW w:w="870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Процент</w:t>
            </w:r>
          </w:p>
        </w:tc>
        <w:tc>
          <w:tcPr>
            <w:tcW w:w="722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0,5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202</w:t>
            </w: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4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1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1,5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2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2,5</w:t>
            </w:r>
          </w:p>
        </w:tc>
        <w:tc>
          <w:tcPr>
            <w:tcW w:w="65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3</w:t>
            </w:r>
          </w:p>
        </w:tc>
        <w:tc>
          <w:tcPr>
            <w:tcW w:w="53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3,5</w:t>
            </w:r>
          </w:p>
        </w:tc>
        <w:tc>
          <w:tcPr>
            <w:tcW w:w="138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 xml:space="preserve">Постановление Правительства Российской Федерации </w:t>
              <w:br/>
              <w:t xml:space="preserve">от 30.12.2017 г. 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18"/>
                <w:szCs w:val="18"/>
                <w:lang w:val="ru-RU" w:bidi="ar-SA"/>
              </w:rPr>
              <w:t>№ 1710</w:t>
            </w: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 xml:space="preserve"> </w:t>
            </w:r>
          </w:p>
        </w:tc>
        <w:tc>
          <w:tcPr>
            <w:tcW w:w="112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Управление строительства и ЖКХ</w:t>
            </w:r>
          </w:p>
        </w:tc>
        <w:tc>
          <w:tcPr>
            <w:tcW w:w="113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 xml:space="preserve">Улучшение качества городской среды в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полтора раза</w:t>
            </w:r>
          </w:p>
        </w:tc>
        <w:tc>
          <w:tcPr>
            <w:tcW w:w="13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Государственная программа Белгородской области «Формирование современной городской среды </w:t>
              <w:br/>
              <w:t xml:space="preserve">на территории Белгородской области» </w:t>
            </w:r>
          </w:p>
        </w:tc>
      </w:tr>
      <w:tr>
        <w:trPr/>
        <w:tc>
          <w:tcPr>
            <w:tcW w:w="42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080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both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 xml:space="preserve">Количество реализованных мероприятий </w:t>
              <w:br/>
              <w:t>по благоустройству территорий Красногвардейского района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ГП РФ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ГП</w:t>
            </w:r>
          </w:p>
        </w:tc>
        <w:tc>
          <w:tcPr>
            <w:tcW w:w="81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870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722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202</w:t>
            </w: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4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3</w:t>
            </w:r>
          </w:p>
        </w:tc>
        <w:tc>
          <w:tcPr>
            <w:tcW w:w="71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5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53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138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16"/>
                <w:szCs w:val="16"/>
                <w:lang w:val="ru-RU" w:bidi="ar-SA"/>
              </w:rPr>
              <w:t xml:space="preserve">Постановление Правительства Российской Федерации </w:t>
              <w:br/>
              <w:t>от 30.12.2017 г. № 1710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 </w:t>
            </w:r>
          </w:p>
        </w:tc>
        <w:tc>
          <w:tcPr>
            <w:tcW w:w="112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Управление строительства и ЖКХ</w:t>
            </w:r>
          </w:p>
        </w:tc>
        <w:tc>
          <w:tcPr>
            <w:tcW w:w="113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Улучшение качества городской среды в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полтора раза</w:t>
            </w:r>
          </w:p>
        </w:tc>
        <w:tc>
          <w:tcPr>
            <w:tcW w:w="13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Государственная программа Белгородской области «Формирование современной городской среды </w:t>
              <w:br/>
              <w:t xml:space="preserve">на территории Белгородской области» </w:t>
            </w:r>
          </w:p>
        </w:tc>
      </w:tr>
      <w:tr>
        <w:trPr>
          <w:trHeight w:val="1303" w:hRule="atLeast"/>
        </w:trPr>
        <w:tc>
          <w:tcPr>
            <w:tcW w:w="42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3.</w:t>
            </w:r>
          </w:p>
        </w:tc>
        <w:tc>
          <w:tcPr>
            <w:tcW w:w="2080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both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 xml:space="preserve">Количество светоточек </w:t>
              <w:br/>
              <w:t>на территории населенных пунктов Красногвардейского района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ГП</w:t>
            </w:r>
          </w:p>
        </w:tc>
        <w:tc>
          <w:tcPr>
            <w:tcW w:w="81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870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722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5,403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202</w:t>
            </w: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4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5,646</w:t>
            </w:r>
          </w:p>
        </w:tc>
        <w:tc>
          <w:tcPr>
            <w:tcW w:w="71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5,696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5,746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5,796</w:t>
            </w:r>
          </w:p>
        </w:tc>
        <w:tc>
          <w:tcPr>
            <w:tcW w:w="65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5,846</w:t>
            </w:r>
          </w:p>
        </w:tc>
        <w:tc>
          <w:tcPr>
            <w:tcW w:w="53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5,896</w:t>
            </w:r>
          </w:p>
        </w:tc>
        <w:tc>
          <w:tcPr>
            <w:tcW w:w="138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Постановление Правительства Белгородской области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от 28.12.2023 № 815-пп  </w:t>
            </w:r>
          </w:p>
        </w:tc>
        <w:tc>
          <w:tcPr>
            <w:tcW w:w="112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Управление строительства и ЖКХ</w:t>
            </w:r>
          </w:p>
        </w:tc>
        <w:tc>
          <w:tcPr>
            <w:tcW w:w="113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Улучшение качества городской среды в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полтора раза</w:t>
            </w:r>
          </w:p>
        </w:tc>
        <w:tc>
          <w:tcPr>
            <w:tcW w:w="13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kern w:val="0"/>
                <w:sz w:val="16"/>
                <w:szCs w:val="16"/>
                <w:lang w:val="ru-RU" w:bidi="ar-SA"/>
              </w:rPr>
              <w:t>-</w:t>
            </w:r>
          </w:p>
        </w:tc>
      </w:tr>
      <w:tr>
        <w:trPr/>
        <w:tc>
          <w:tcPr>
            <w:tcW w:w="42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4.</w:t>
            </w:r>
          </w:p>
        </w:tc>
        <w:tc>
          <w:tcPr>
            <w:tcW w:w="2080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shd w:fill="auto" w:val="clear"/>
                <w:lang w:eastAsia="ru-RU"/>
              </w:rPr>
              <w:t>Доля компенсационных расходов  на предоставление государственных гарантий  от фактически предоставленных услуг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ГП</w:t>
            </w:r>
          </w:p>
        </w:tc>
        <w:tc>
          <w:tcPr>
            <w:tcW w:w="81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Прогрессирующий</w:t>
            </w:r>
          </w:p>
        </w:tc>
        <w:tc>
          <w:tcPr>
            <w:tcW w:w="870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Процент</w:t>
            </w:r>
          </w:p>
        </w:tc>
        <w:tc>
          <w:tcPr>
            <w:tcW w:w="722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100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202</w:t>
            </w: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4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100</w:t>
            </w:r>
          </w:p>
        </w:tc>
        <w:tc>
          <w:tcPr>
            <w:tcW w:w="71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100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100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100</w:t>
            </w:r>
          </w:p>
        </w:tc>
        <w:tc>
          <w:tcPr>
            <w:tcW w:w="65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100</w:t>
            </w:r>
          </w:p>
        </w:tc>
        <w:tc>
          <w:tcPr>
            <w:tcW w:w="53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100</w:t>
            </w:r>
          </w:p>
        </w:tc>
        <w:tc>
          <w:tcPr>
            <w:tcW w:w="138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6"/>
                <w:szCs w:val="16"/>
                <w:shd w:fill="auto" w:val="clear"/>
              </w:rPr>
              <w:t xml:space="preserve">Федеральный закон </w:t>
              <w:br/>
              <w:t>от 12.01.1996 г.</w:t>
              <w:br/>
              <w:t>№ 8-ФЗ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16"/>
                <w:szCs w:val="16"/>
                <w:shd w:fill="auto" w:val="clear"/>
                <w:lang w:val="ru-RU" w:bidi="ar-SA"/>
              </w:rPr>
              <w:t>«О погребении и похоронном деле»</w:t>
            </w:r>
          </w:p>
        </w:tc>
        <w:tc>
          <w:tcPr>
            <w:tcW w:w="112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shd w:fill="auto" w:val="clear"/>
                <w:lang w:val="ru-RU" w:bidi="ar-SA"/>
              </w:rPr>
              <w:t>Управление строительства и ЖКХ</w:t>
            </w:r>
          </w:p>
        </w:tc>
        <w:tc>
          <w:tcPr>
            <w:tcW w:w="113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shd w:fill="auto" w:val="clear"/>
                <w:lang w:val="ru-RU" w:bidi="ar-SA"/>
              </w:rPr>
              <w:t xml:space="preserve">Улучшение качества городской среды в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shd w:fill="auto" w:val="clear"/>
                <w:lang w:val="ru-RU" w:bidi="ar-SA"/>
              </w:rPr>
              <w:t>полтора раза</w:t>
            </w:r>
          </w:p>
        </w:tc>
        <w:tc>
          <w:tcPr>
            <w:tcW w:w="13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shd w:fill="auto" w:val="clear"/>
                <w:lang w:val="ru-RU" w:bidi="ar-SA"/>
              </w:rPr>
              <w:t>-</w:t>
            </w:r>
          </w:p>
        </w:tc>
      </w:tr>
      <w:tr>
        <w:trPr/>
        <w:tc>
          <w:tcPr>
            <w:tcW w:w="42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5.</w:t>
            </w:r>
          </w:p>
        </w:tc>
        <w:tc>
          <w:tcPr>
            <w:tcW w:w="2080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shd w:fill="auto" w:val="clear"/>
                <w:lang w:eastAsia="ru-RU"/>
              </w:rPr>
              <w:t xml:space="preserve">Количество реализованных проектов </w:t>
              <w:br/>
              <w:t>для повышения уровня жизни граждан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shd w:fill="auto" w:val="clear"/>
                <w:lang w:eastAsia="ru-RU"/>
              </w:rPr>
              <w:t>в муниципальном образовании</w:t>
            </w:r>
          </w:p>
        </w:tc>
        <w:tc>
          <w:tcPr>
            <w:tcW w:w="882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ГП</w:t>
            </w:r>
          </w:p>
        </w:tc>
        <w:tc>
          <w:tcPr>
            <w:tcW w:w="811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Прогрессирующий</w:t>
            </w:r>
          </w:p>
        </w:tc>
        <w:tc>
          <w:tcPr>
            <w:tcW w:w="870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Единица</w:t>
            </w:r>
          </w:p>
        </w:tc>
        <w:tc>
          <w:tcPr>
            <w:tcW w:w="722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44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202</w:t>
            </w: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4</w:t>
            </w:r>
          </w:p>
        </w:tc>
        <w:tc>
          <w:tcPr>
            <w:tcW w:w="691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3</w:t>
            </w:r>
          </w:p>
        </w:tc>
        <w:tc>
          <w:tcPr>
            <w:tcW w:w="719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91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44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59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536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1389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6"/>
                <w:szCs w:val="16"/>
                <w:shd w:fill="auto" w:val="clear"/>
              </w:rPr>
              <w:t xml:space="preserve">Закон Белгородской области </w:t>
              <w:br/>
              <w:t xml:space="preserve">от 26.12.2020 г. № 20 </w:t>
              <w:br/>
              <w:t xml:space="preserve">«Об инициативных проектах», постановление Правительства Белгородской области </w:t>
              <w:br/>
              <w:t xml:space="preserve">от 28.12.2020 г. </w:t>
              <w:br/>
              <w:t>№ 598-пп</w:t>
              <w:br/>
              <w:t xml:space="preserve">«О реализации инициативных проектов </w:t>
              <w:br/>
              <w:t>на территории Белгородской области»</w:t>
            </w:r>
          </w:p>
        </w:tc>
        <w:tc>
          <w:tcPr>
            <w:tcW w:w="1125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shd w:fill="auto" w:val="clear"/>
                <w:lang w:val="ru-RU" w:bidi="ar-SA"/>
              </w:rPr>
              <w:t>Управление строительства и ЖКХ</w:t>
            </w:r>
          </w:p>
        </w:tc>
        <w:tc>
          <w:tcPr>
            <w:tcW w:w="1135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shd w:fill="auto" w:val="clear"/>
                <w:lang w:val="ru-RU" w:bidi="ar-SA"/>
              </w:rPr>
              <w:t xml:space="preserve">Улучшение качества городской среды в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shd w:fill="auto" w:val="clear"/>
                <w:lang w:val="ru-RU" w:bidi="ar-SA"/>
              </w:rPr>
              <w:t>полтора раза</w:t>
            </w:r>
          </w:p>
        </w:tc>
        <w:tc>
          <w:tcPr>
            <w:tcW w:w="1340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kern w:val="0"/>
                <w:sz w:val="16"/>
                <w:szCs w:val="16"/>
                <w:shd w:fill="auto" w:val="clear"/>
                <w:lang w:val="ru-RU" w:bidi="ar-SA"/>
              </w:rPr>
              <w:t xml:space="preserve">Государственная программа Белгородской области «Формирование современной городской среды </w:t>
              <w:br/>
              <w:t xml:space="preserve">на территории Белгородской области» </w:t>
            </w:r>
          </w:p>
        </w:tc>
      </w:tr>
      <w:tr>
        <w:trPr/>
        <w:tc>
          <w:tcPr>
            <w:tcW w:w="42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6.</w:t>
            </w:r>
          </w:p>
        </w:tc>
        <w:tc>
          <w:tcPr>
            <w:tcW w:w="2080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both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Количество благоустроенных территорий различного функционального назначения Красногвардейского района</w:t>
            </w:r>
          </w:p>
        </w:tc>
        <w:tc>
          <w:tcPr>
            <w:tcW w:w="882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ГП</w:t>
            </w:r>
          </w:p>
        </w:tc>
        <w:tc>
          <w:tcPr>
            <w:tcW w:w="811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870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722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44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202</w:t>
            </w: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4</w:t>
            </w:r>
          </w:p>
        </w:tc>
        <w:tc>
          <w:tcPr>
            <w:tcW w:w="691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3</w:t>
            </w:r>
          </w:p>
        </w:tc>
        <w:tc>
          <w:tcPr>
            <w:tcW w:w="719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91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44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59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536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1389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Постановление Правительства Белгородской области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от 28.12.2023 № 815-пп  </w:t>
            </w:r>
          </w:p>
        </w:tc>
        <w:tc>
          <w:tcPr>
            <w:tcW w:w="1125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Управление строительства и ЖКХ</w:t>
            </w:r>
          </w:p>
        </w:tc>
        <w:tc>
          <w:tcPr>
            <w:tcW w:w="1135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Улучшение качества городской среды в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полтора раза</w:t>
            </w:r>
          </w:p>
        </w:tc>
        <w:tc>
          <w:tcPr>
            <w:tcW w:w="1340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Государственная программа Белгородской области «Формирование современной городской среды </w:t>
              <w:br/>
              <w:t xml:space="preserve">на территории Белгородской области» 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nos" w:hAnsi="Tinos" w:cs="Tinos"/>
        </w:rPr>
      </w:pPr>
      <w:r>
        <w:rPr>
          <w:rFonts w:cs="Tinos" w:ascii="Tinos" w:hAnsi="Tinos"/>
          <w:sz w:val="28"/>
        </w:rPr>
        <w:t xml:space="preserve"> </w:t>
      </w:r>
      <w:r>
        <w:rPr>
          <w:rFonts w:cs="Tinos" w:ascii="Times New Roman" w:hAnsi="Times New Roman"/>
          <w:b/>
          <w:sz w:val="28"/>
          <w:highlight w:val="white"/>
        </w:rPr>
        <w:t>3. Помесячный план достижения показателей муниципальной программы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/>
      </w:pPr>
      <w:r>
        <w:rPr>
          <w:rFonts w:cs="Tinos" w:ascii="Times New Roman" w:hAnsi="Times New Roman"/>
          <w:b/>
          <w:sz w:val="28"/>
          <w:highlight w:val="white"/>
        </w:rPr>
        <w:t xml:space="preserve">(комплексной программы) в 2025 году 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 w:cs="Tinos"/>
          <w:highlight w:val="white"/>
        </w:rPr>
      </w:pPr>
      <w:r>
        <w:rPr>
          <w:rFonts w:cs="Tinos" w:ascii="Times New Roman" w:hAnsi="Times New Roman"/>
          <w:highlight w:val="white"/>
        </w:rPr>
      </w:r>
    </w:p>
    <w:tbl>
      <w:tblPr>
        <w:tblStyle w:val="af4"/>
        <w:tblW w:w="14250" w:type="dxa"/>
        <w:jc w:val="left"/>
        <w:tblInd w:w="0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noVBand="1" w:val="04a0" w:noHBand="0" w:lastColumn="0" w:firstColumn="1" w:lastRow="0" w:firstRow="1"/>
      </w:tblPr>
      <w:tblGrid>
        <w:gridCol w:w="702"/>
        <w:gridCol w:w="2149"/>
        <w:gridCol w:w="1395"/>
        <w:gridCol w:w="896"/>
        <w:gridCol w:w="738"/>
        <w:gridCol w:w="727"/>
        <w:gridCol w:w="778"/>
        <w:gridCol w:w="709"/>
        <w:gridCol w:w="676"/>
        <w:gridCol w:w="865"/>
        <w:gridCol w:w="843"/>
        <w:gridCol w:w="685"/>
        <w:gridCol w:w="707"/>
        <w:gridCol w:w="711"/>
        <w:gridCol w:w="721"/>
        <w:gridCol w:w="944"/>
      </w:tblGrid>
      <w:tr>
        <w:trPr/>
        <w:tc>
          <w:tcPr>
            <w:tcW w:w="702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п/п</w:t>
            </w:r>
          </w:p>
        </w:tc>
        <w:tc>
          <w:tcPr>
            <w:tcW w:w="2149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Наименование показателя</w:t>
            </w:r>
          </w:p>
        </w:tc>
        <w:tc>
          <w:tcPr>
            <w:tcW w:w="1395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Уровень показателя</w:t>
            </w:r>
          </w:p>
        </w:tc>
        <w:tc>
          <w:tcPr>
            <w:tcW w:w="896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Ед. изм.</w:t>
            </w:r>
          </w:p>
        </w:tc>
        <w:tc>
          <w:tcPr>
            <w:tcW w:w="8160" w:type="dxa"/>
            <w:gridSpan w:val="11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Плановые значения по кварталам/месяцам **</w:t>
            </w:r>
          </w:p>
        </w:tc>
        <w:tc>
          <w:tcPr>
            <w:tcW w:w="944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На конец 2025 года</w:t>
            </w:r>
          </w:p>
        </w:tc>
      </w:tr>
      <w:tr>
        <w:trPr/>
        <w:tc>
          <w:tcPr>
            <w:tcW w:w="702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2149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395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896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73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Я</w:t>
            </w:r>
          </w:p>
        </w:tc>
        <w:tc>
          <w:tcPr>
            <w:tcW w:w="727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Ф</w:t>
            </w:r>
          </w:p>
        </w:tc>
        <w:tc>
          <w:tcPr>
            <w:tcW w:w="77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М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vertAlign w:val="superscript"/>
                <w:lang w:val="ru-RU" w:bidi="ar-SA"/>
              </w:rPr>
              <w:t>кв</w:t>
            </w: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А</w:t>
            </w:r>
          </w:p>
        </w:tc>
        <w:tc>
          <w:tcPr>
            <w:tcW w:w="676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М</w:t>
            </w:r>
          </w:p>
        </w:tc>
        <w:tc>
          <w:tcPr>
            <w:tcW w:w="865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ИН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vertAlign w:val="superscript"/>
                <w:lang w:val="ru-RU" w:bidi="ar-SA"/>
              </w:rPr>
              <w:t>кв</w:t>
            </w:r>
          </w:p>
        </w:tc>
        <w:tc>
          <w:tcPr>
            <w:tcW w:w="843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ИЛ</w:t>
            </w:r>
          </w:p>
        </w:tc>
        <w:tc>
          <w:tcPr>
            <w:tcW w:w="685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А</w:t>
            </w:r>
          </w:p>
        </w:tc>
        <w:tc>
          <w:tcPr>
            <w:tcW w:w="707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С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vertAlign w:val="superscript"/>
                <w:lang w:val="ru-RU" w:bidi="ar-SA"/>
              </w:rPr>
              <w:t>кв</w:t>
            </w:r>
          </w:p>
        </w:tc>
        <w:tc>
          <w:tcPr>
            <w:tcW w:w="711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О</w:t>
            </w:r>
          </w:p>
        </w:tc>
        <w:tc>
          <w:tcPr>
            <w:tcW w:w="721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Н</w:t>
            </w:r>
          </w:p>
        </w:tc>
        <w:tc>
          <w:tcPr>
            <w:tcW w:w="944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</w:tr>
      <w:tr>
        <w:trPr>
          <w:trHeight w:val="230" w:hRule="atLeast"/>
        </w:trPr>
        <w:tc>
          <w:tcPr>
            <w:tcW w:w="702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2149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139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89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738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5</w:t>
            </w:r>
          </w:p>
        </w:tc>
        <w:tc>
          <w:tcPr>
            <w:tcW w:w="727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6</w:t>
            </w:r>
          </w:p>
        </w:tc>
        <w:tc>
          <w:tcPr>
            <w:tcW w:w="778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7</w:t>
            </w:r>
          </w:p>
        </w:tc>
        <w:tc>
          <w:tcPr>
            <w:tcW w:w="709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8</w:t>
            </w:r>
          </w:p>
        </w:tc>
        <w:tc>
          <w:tcPr>
            <w:tcW w:w="67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9</w:t>
            </w:r>
          </w:p>
        </w:tc>
        <w:tc>
          <w:tcPr>
            <w:tcW w:w="86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10</w:t>
            </w:r>
          </w:p>
        </w:tc>
        <w:tc>
          <w:tcPr>
            <w:tcW w:w="843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11</w:t>
            </w:r>
          </w:p>
        </w:tc>
        <w:tc>
          <w:tcPr>
            <w:tcW w:w="68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12</w:t>
            </w:r>
          </w:p>
        </w:tc>
        <w:tc>
          <w:tcPr>
            <w:tcW w:w="707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13</w:t>
            </w:r>
          </w:p>
        </w:tc>
        <w:tc>
          <w:tcPr>
            <w:tcW w:w="711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14</w:t>
            </w:r>
          </w:p>
        </w:tc>
        <w:tc>
          <w:tcPr>
            <w:tcW w:w="721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15</w:t>
            </w:r>
          </w:p>
        </w:tc>
        <w:tc>
          <w:tcPr>
            <w:tcW w:w="94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16</w:t>
            </w:r>
          </w:p>
        </w:tc>
      </w:tr>
      <w:tr>
        <w:trPr>
          <w:trHeight w:val="230" w:hRule="atLeast"/>
        </w:trPr>
        <w:tc>
          <w:tcPr>
            <w:tcW w:w="702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13544" w:type="dxa"/>
            <w:gridSpan w:val="15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highlight w:val="white"/>
                <w:lang w:val="ru-RU" w:bidi="ar-SA"/>
              </w:rPr>
              <w:t>Цель</w:t>
            </w: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highlight w:val="white"/>
                <w:lang w:val="ru-RU" w:bidi="ar-SA"/>
              </w:rPr>
              <w:t xml:space="preserve"> «</w:t>
            </w: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highlight w:val="white"/>
                <w:lang w:val="ru-RU" w:bidi="ar-SA"/>
              </w:rPr>
              <w:t>Повышение уровня благоустройства, качества и комфорта дворовых, общественных и иных территорий Красногвардейского района</w:t>
            </w: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highlight w:val="white"/>
                <w:lang w:val="ru-RU" w:bidi="ar-SA"/>
              </w:rPr>
              <w:t>»</w:t>
            </w:r>
          </w:p>
        </w:tc>
      </w:tr>
      <w:tr>
        <w:trPr/>
        <w:tc>
          <w:tcPr>
            <w:tcW w:w="702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sz w:val="20"/>
                <w:szCs w:val="20"/>
                <w:highlight w:val="white"/>
              </w:rPr>
            </w:pPr>
            <w:r>
              <w:rPr>
                <w:rFonts w:cs="Tinos" w:ascii="Times New Roman" w:hAnsi="Times New Roman"/>
                <w:sz w:val="20"/>
                <w:szCs w:val="20"/>
                <w:highlight w:val="white"/>
              </w:rPr>
            </w:r>
          </w:p>
        </w:tc>
        <w:tc>
          <w:tcPr>
            <w:tcW w:w="2149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1. Количество благоустроенных дворовых </w:t>
              <w:br/>
              <w:t xml:space="preserve">и общественных территорий различного функционального назначения,  включенных </w:t>
              <w:br/>
              <w:t>в муниципальную программу  (ежегодно, накопительным итогом)</w:t>
            </w:r>
          </w:p>
        </w:tc>
        <w:tc>
          <w:tcPr>
            <w:tcW w:w="139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МП</w:t>
            </w:r>
          </w:p>
        </w:tc>
        <w:tc>
          <w:tcPr>
            <w:tcW w:w="89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Еди-ница</w:t>
            </w:r>
          </w:p>
        </w:tc>
        <w:tc>
          <w:tcPr>
            <w:tcW w:w="738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</w:tc>
        <w:tc>
          <w:tcPr>
            <w:tcW w:w="727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78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709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7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86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843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8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07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11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21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94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>
        <w:trPr/>
        <w:tc>
          <w:tcPr>
            <w:tcW w:w="702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sz w:val="20"/>
                <w:szCs w:val="20"/>
                <w:highlight w:val="white"/>
              </w:rPr>
            </w:pPr>
            <w:r>
              <w:rPr>
                <w:rFonts w:cs="Tinos" w:ascii="Times New Roman" w:hAnsi="Times New Roman"/>
                <w:sz w:val="20"/>
                <w:szCs w:val="20"/>
                <w:highlight w:val="white"/>
              </w:rPr>
            </w:r>
          </w:p>
        </w:tc>
        <w:tc>
          <w:tcPr>
            <w:tcW w:w="2149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2. Количество благоустроенных дворовых территорий, включенных </w:t>
              <w:br/>
              <w:t xml:space="preserve">в муниципальную программу (ежегодно, накопительным итогом)  </w:t>
            </w:r>
          </w:p>
        </w:tc>
        <w:tc>
          <w:tcPr>
            <w:tcW w:w="139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МП</w:t>
            </w:r>
          </w:p>
        </w:tc>
        <w:tc>
          <w:tcPr>
            <w:tcW w:w="89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%</w:t>
            </w:r>
          </w:p>
        </w:tc>
        <w:tc>
          <w:tcPr>
            <w:tcW w:w="738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</w:tc>
        <w:tc>
          <w:tcPr>
            <w:tcW w:w="727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78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709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7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86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843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8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07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11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21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94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>
        <w:trPr/>
        <w:tc>
          <w:tcPr>
            <w:tcW w:w="70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214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3. Доля дворовых </w:t>
              <w:br/>
              <w:t xml:space="preserve">и общественных территорий населенных пунктов поселений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Красногвардейского района, благоустроенных с трудовым участием граждан, заинтересованных организаций от общего количества дворовых </w:t>
              <w:br/>
              <w:t>и общественных территорий, благоустроенных  в ходе реализации муниципальной программы</w:t>
            </w:r>
          </w:p>
        </w:tc>
        <w:tc>
          <w:tcPr>
            <w:tcW w:w="139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МП</w:t>
            </w:r>
          </w:p>
        </w:tc>
        <w:tc>
          <w:tcPr>
            <w:tcW w:w="89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%</w:t>
            </w:r>
          </w:p>
        </w:tc>
        <w:tc>
          <w:tcPr>
            <w:tcW w:w="7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</w:tc>
        <w:tc>
          <w:tcPr>
            <w:tcW w:w="72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7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7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86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843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0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100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1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2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94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>
        <w:trPr/>
        <w:tc>
          <w:tcPr>
            <w:tcW w:w="70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214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4. Доля граждан, принявших участие </w:t>
              <w:br/>
              <w:t xml:space="preserve">в решении вопросов развития городской среды от общего  количества граждан в возрасте от 14 лет,  проживающих </w:t>
              <w:br/>
              <w:t xml:space="preserve">в муниципальных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образованиях,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на территории которых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реализуются проекты по созданию  комфортной городской среды  </w:t>
            </w:r>
          </w:p>
        </w:tc>
        <w:tc>
          <w:tcPr>
            <w:tcW w:w="139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МП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89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%</w:t>
            </w:r>
          </w:p>
        </w:tc>
        <w:tc>
          <w:tcPr>
            <w:tcW w:w="7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</w:tc>
        <w:tc>
          <w:tcPr>
            <w:tcW w:w="72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7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7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86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843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0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58,4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1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2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94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58,4</w:t>
            </w:r>
          </w:p>
        </w:tc>
      </w:tr>
      <w:tr>
        <w:trPr/>
        <w:tc>
          <w:tcPr>
            <w:tcW w:w="70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214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5. Количество реализованных проектов по благоустройству мест массового отдыха</w:t>
            </w:r>
          </w:p>
        </w:tc>
        <w:tc>
          <w:tcPr>
            <w:tcW w:w="139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МП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89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Единица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</w:tc>
        <w:tc>
          <w:tcPr>
            <w:tcW w:w="72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7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7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86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843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0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3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1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2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94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>
        <w:trPr>
          <w:trHeight w:val="230" w:hRule="atLeast"/>
        </w:trPr>
        <w:tc>
          <w:tcPr>
            <w:tcW w:w="14246" w:type="dxa"/>
            <w:gridSpan w:val="16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1.1.1.</w:t>
            </w:r>
            <w:r>
              <w:rPr>
                <w:rFonts w:cs="Tinos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6"/>
                <w:szCs w:val="16"/>
                <w:highlight w:val="white"/>
                <w:lang w:val="ru-RU" w:bidi="ar-SA"/>
              </w:rPr>
              <w:t>Региональный проект</w:t>
            </w: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highlight w:val="white"/>
                <w:lang w:val="ru-RU" w:bidi="ar-SA"/>
              </w:rPr>
              <w:t xml:space="preserve"> 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«Формирование комфортной городской среды»</w:t>
            </w:r>
          </w:p>
        </w:tc>
      </w:tr>
      <w:tr>
        <w:trPr>
          <w:trHeight w:val="230" w:hRule="atLeast"/>
        </w:trPr>
        <w:tc>
          <w:tcPr>
            <w:tcW w:w="70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214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1. Доля дворовых </w:t>
              <w:br/>
              <w:t xml:space="preserve">и общественных территорий населенных пунктов поселений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Красногвардейского района, благоустроенных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с трудовым участием граждан, заинтересованных организаций от общего количества дворовых </w:t>
              <w:br/>
              <w:t xml:space="preserve">и общественных территорий, благоустроенных в ходе реализации муниципальной программы </w:t>
            </w:r>
          </w:p>
        </w:tc>
        <w:tc>
          <w:tcPr>
            <w:tcW w:w="139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МП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89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%</w:t>
            </w:r>
          </w:p>
        </w:tc>
        <w:tc>
          <w:tcPr>
            <w:tcW w:w="7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</w:tc>
        <w:tc>
          <w:tcPr>
            <w:tcW w:w="72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7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7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86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843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0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100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1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2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94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>
        <w:trPr>
          <w:trHeight w:val="230" w:hRule="atLeast"/>
        </w:trPr>
        <w:tc>
          <w:tcPr>
            <w:tcW w:w="702" w:type="dxa"/>
            <w:vMerge w:val="restart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149" w:type="dxa"/>
            <w:vMerge w:val="restart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2. Доля граждан, принявших участие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в решении вопросов развития городской среды от общего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количества граждан </w:t>
              <w:br/>
              <w:t xml:space="preserve">в возрасте от 14 лет, проживающих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в муниципальных образованиях,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на территории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которых реализуются проекты по созданию комфортной городской среды</w:t>
            </w:r>
          </w:p>
        </w:tc>
        <w:tc>
          <w:tcPr>
            <w:tcW w:w="139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МП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color w:val="000000"/>
                <w:sz w:val="16"/>
                <w:szCs w:val="16"/>
              </w:rPr>
            </w:pPr>
            <w:r>
              <w:rPr>
                <w:rFonts w:cs="Tinos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89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Единица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color w:val="000000"/>
                <w:sz w:val="16"/>
                <w:szCs w:val="16"/>
              </w:rPr>
            </w:pPr>
            <w:r>
              <w:rPr>
                <w:rFonts w:cs="Tinos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7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72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color w:val="000000"/>
                <w:sz w:val="16"/>
                <w:szCs w:val="16"/>
              </w:rPr>
            </w:pPr>
            <w:r>
              <w:rPr>
                <w:rFonts w:cs="Tinos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4162</w:t>
            </w:r>
          </w:p>
        </w:tc>
        <w:tc>
          <w:tcPr>
            <w:tcW w:w="7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color w:val="000000"/>
                <w:sz w:val="16"/>
                <w:szCs w:val="16"/>
              </w:rPr>
            </w:pPr>
            <w:r>
              <w:rPr>
                <w:rFonts w:cs="Tinos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67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color w:val="000000"/>
                <w:sz w:val="16"/>
                <w:szCs w:val="16"/>
              </w:rPr>
            </w:pPr>
            <w:r>
              <w:rPr>
                <w:rFonts w:cs="Tinos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86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0</w:t>
            </w:r>
          </w:p>
        </w:tc>
        <w:tc>
          <w:tcPr>
            <w:tcW w:w="843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color w:val="000000"/>
                <w:sz w:val="16"/>
                <w:szCs w:val="16"/>
              </w:rPr>
            </w:pPr>
            <w:r>
              <w:rPr>
                <w:rFonts w:cs="Tinos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6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color w:val="000000"/>
                <w:sz w:val="16"/>
                <w:szCs w:val="16"/>
              </w:rPr>
            </w:pPr>
            <w:r>
              <w:rPr>
                <w:rFonts w:cs="Tinos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70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color w:val="000000"/>
                <w:sz w:val="16"/>
                <w:szCs w:val="16"/>
              </w:rPr>
            </w:pPr>
            <w:r>
              <w:rPr>
                <w:rFonts w:cs="Tinos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71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color w:val="000000"/>
                <w:sz w:val="16"/>
                <w:szCs w:val="16"/>
              </w:rPr>
            </w:pPr>
            <w:r>
              <w:rPr>
                <w:rFonts w:cs="Tinos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72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color w:val="000000"/>
                <w:sz w:val="16"/>
                <w:szCs w:val="16"/>
              </w:rPr>
            </w:pPr>
            <w:r>
              <w:rPr>
                <w:rFonts w:cs="Tinos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4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4162</w:t>
            </w:r>
          </w:p>
        </w:tc>
      </w:tr>
      <w:tr>
        <w:trPr>
          <w:trHeight w:val="230" w:hRule="atLeast"/>
        </w:trPr>
        <w:tc>
          <w:tcPr>
            <w:tcW w:w="702" w:type="dxa"/>
            <w:vMerge w:val="continue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2149" w:type="dxa"/>
            <w:vMerge w:val="continue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89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7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72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67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86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843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6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70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71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72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94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</w:tr>
      <w:tr>
        <w:trPr>
          <w:trHeight w:val="230" w:hRule="atLeast"/>
        </w:trPr>
        <w:tc>
          <w:tcPr>
            <w:tcW w:w="70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14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3. Количество муниципальных программ, включающих мероприятия </w:t>
              <w:br/>
              <w:t>по благоустройству дворовых территорий многоквартирных домов, общественных  и иных территорий соответствующего функционального назначения населенных пунктов поселений Красногвардейского района</w:t>
            </w:r>
          </w:p>
        </w:tc>
        <w:tc>
          <w:tcPr>
            <w:tcW w:w="139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МП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89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Единица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72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</w:t>
            </w:r>
          </w:p>
        </w:tc>
        <w:tc>
          <w:tcPr>
            <w:tcW w:w="7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67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86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0</w:t>
            </w:r>
          </w:p>
        </w:tc>
        <w:tc>
          <w:tcPr>
            <w:tcW w:w="843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6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0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1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2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94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70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214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4. Количество благоустроенных дворовых </w:t>
              <w:br/>
              <w:t xml:space="preserve">и общественных территорий различного функционального назначения включенных </w:t>
              <w:br/>
              <w:t xml:space="preserve">в муниципальную программу </w:t>
            </w:r>
          </w:p>
        </w:tc>
        <w:tc>
          <w:tcPr>
            <w:tcW w:w="139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МП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89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Единица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72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0</w:t>
            </w:r>
          </w:p>
        </w:tc>
        <w:tc>
          <w:tcPr>
            <w:tcW w:w="7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67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86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0</w:t>
            </w:r>
          </w:p>
        </w:tc>
        <w:tc>
          <w:tcPr>
            <w:tcW w:w="843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6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0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3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1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2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94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>
        <w:trPr>
          <w:trHeight w:val="230" w:hRule="atLeast"/>
        </w:trPr>
        <w:tc>
          <w:tcPr>
            <w:tcW w:w="70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214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5. Количество благоустроенных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общественных территорий, включенных в муниципальную программу (ежегодно, накопительным итогом)</w:t>
            </w:r>
          </w:p>
        </w:tc>
        <w:tc>
          <w:tcPr>
            <w:tcW w:w="139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МП</w:t>
            </w:r>
          </w:p>
        </w:tc>
        <w:tc>
          <w:tcPr>
            <w:tcW w:w="89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Единица</w:t>
            </w:r>
          </w:p>
        </w:tc>
        <w:tc>
          <w:tcPr>
            <w:tcW w:w="7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72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0</w:t>
            </w:r>
          </w:p>
        </w:tc>
        <w:tc>
          <w:tcPr>
            <w:tcW w:w="7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67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86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0</w:t>
            </w:r>
          </w:p>
        </w:tc>
        <w:tc>
          <w:tcPr>
            <w:tcW w:w="843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6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0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3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1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2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94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</w:rPr>
      </w:pPr>
      <w:r>
        <w:rPr>
          <w:rFonts w:cs="Tinos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</w:rPr>
        <w:t xml:space="preserve">5. Финансовое обеспечение муниципальной программы </w:t>
      </w:r>
      <w:r>
        <w:rPr>
          <w:rFonts w:cs="Tinos" w:ascii="Times New Roman" w:hAnsi="Times New Roman"/>
          <w:b/>
          <w:sz w:val="26"/>
        </w:rPr>
        <w:t>«</w:t>
      </w:r>
      <w:r>
        <w:rPr>
          <w:rFonts w:cs="Tinos" w:ascii="Times New Roman" w:hAnsi="Times New Roman"/>
          <w:b/>
          <w:sz w:val="28"/>
        </w:rPr>
        <w:t>Формирование современной городской среды на территории Красногвардейского района</w:t>
      </w:r>
      <w:r>
        <w:rPr>
          <w:rFonts w:cs="Tinos" w:ascii="Times New Roman" w:hAnsi="Times New Roman"/>
          <w:b/>
          <w:sz w:val="26"/>
        </w:rPr>
        <w:t>»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tbl>
      <w:tblPr>
        <w:tblStyle w:val="af4"/>
        <w:tblW w:w="147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099"/>
        <w:gridCol w:w="2151"/>
        <w:gridCol w:w="1138"/>
        <w:gridCol w:w="1187"/>
        <w:gridCol w:w="1313"/>
        <w:gridCol w:w="887"/>
        <w:gridCol w:w="863"/>
        <w:gridCol w:w="850"/>
        <w:gridCol w:w="1248"/>
      </w:tblGrid>
      <w:tr>
        <w:trPr/>
        <w:tc>
          <w:tcPr>
            <w:tcW w:w="5099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Наименование муниципальной программы(комплексной программы),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структурного элемента, источник финансового обеспечения</w:t>
            </w:r>
          </w:p>
        </w:tc>
        <w:tc>
          <w:tcPr>
            <w:tcW w:w="2151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Код бюджетной классифика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ции</w:t>
            </w:r>
          </w:p>
        </w:tc>
        <w:tc>
          <w:tcPr>
            <w:tcW w:w="7486" w:type="dxa"/>
            <w:gridSpan w:val="7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Объем финансового обеспечения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по годам, тыс. рублей</w:t>
            </w:r>
          </w:p>
        </w:tc>
      </w:tr>
      <w:tr>
        <w:trPr/>
        <w:tc>
          <w:tcPr>
            <w:tcW w:w="509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215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2025</w:t>
            </w:r>
          </w:p>
        </w:tc>
        <w:tc>
          <w:tcPr>
            <w:tcW w:w="118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2026</w:t>
            </w:r>
          </w:p>
        </w:tc>
        <w:tc>
          <w:tcPr>
            <w:tcW w:w="13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2027</w:t>
            </w:r>
          </w:p>
        </w:tc>
        <w:tc>
          <w:tcPr>
            <w:tcW w:w="8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2028</w:t>
            </w:r>
          </w:p>
        </w:tc>
        <w:tc>
          <w:tcPr>
            <w:tcW w:w="8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2029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2030</w:t>
            </w:r>
          </w:p>
        </w:tc>
        <w:tc>
          <w:tcPr>
            <w:tcW w:w="12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Всего</w:t>
            </w:r>
          </w:p>
        </w:tc>
      </w:tr>
      <w:tr>
        <w:trPr>
          <w:trHeight w:val="226" w:hRule="atLeast"/>
        </w:trPr>
        <w:tc>
          <w:tcPr>
            <w:tcW w:w="509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11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118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6</w:t>
            </w:r>
          </w:p>
        </w:tc>
        <w:tc>
          <w:tcPr>
            <w:tcW w:w="13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7</w:t>
            </w:r>
          </w:p>
        </w:tc>
        <w:tc>
          <w:tcPr>
            <w:tcW w:w="8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8</w:t>
            </w:r>
          </w:p>
        </w:tc>
        <w:tc>
          <w:tcPr>
            <w:tcW w:w="8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9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10</w:t>
            </w:r>
          </w:p>
        </w:tc>
        <w:tc>
          <w:tcPr>
            <w:tcW w:w="12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11</w:t>
            </w:r>
          </w:p>
        </w:tc>
      </w:tr>
      <w:tr>
        <w:trPr/>
        <w:tc>
          <w:tcPr>
            <w:tcW w:w="50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sz w:val="24"/>
                <w:szCs w:val="24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Муниципальная программа «Формирование современной городской среды на территории Красногвардейского района», в том числе:</w:t>
            </w:r>
          </w:p>
        </w:tc>
        <w:tc>
          <w:tcPr>
            <w:tcW w:w="2151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eastAsia="Arial"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46097,644</w:t>
            </w:r>
          </w:p>
        </w:tc>
        <w:tc>
          <w:tcPr>
            <w:tcW w:w="118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1</w:t>
            </w: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8134,000</w:t>
            </w:r>
          </w:p>
        </w:tc>
        <w:tc>
          <w:tcPr>
            <w:tcW w:w="13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18377,000</w:t>
            </w:r>
          </w:p>
        </w:tc>
        <w:tc>
          <w:tcPr>
            <w:tcW w:w="8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0</w:t>
            </w:r>
          </w:p>
        </w:tc>
        <w:tc>
          <w:tcPr>
            <w:tcW w:w="8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0</w:t>
            </w:r>
          </w:p>
        </w:tc>
        <w:tc>
          <w:tcPr>
            <w:tcW w:w="12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8"/>
                <w:szCs w:val="18"/>
                <w:shd w:fill="auto" w:val="clear"/>
                <w:lang w:val="ru-RU" w:bidi="ar-SA"/>
              </w:rPr>
              <w:t>82608,65</w:t>
            </w:r>
          </w:p>
        </w:tc>
      </w:tr>
      <w:tr>
        <w:trPr/>
        <w:tc>
          <w:tcPr>
            <w:tcW w:w="509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" w:leader="none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1) Межбюджетные трансферты из федерального бюджета</w:t>
            </w:r>
          </w:p>
        </w:tc>
        <w:tc>
          <w:tcPr>
            <w:tcW w:w="215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118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1313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887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-57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863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1248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113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</w:tr>
      <w:tr>
        <w:trPr>
          <w:trHeight w:val="475" w:hRule="atLeast"/>
        </w:trPr>
        <w:tc>
          <w:tcPr>
            <w:tcW w:w="509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2) Межбюджетные трансферты из областного бюджета</w:t>
            </w:r>
          </w:p>
        </w:tc>
        <w:tc>
          <w:tcPr>
            <w:tcW w:w="215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13</w:t>
            </w: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511,800</w:t>
            </w:r>
          </w:p>
        </w:tc>
        <w:tc>
          <w:tcPr>
            <w:tcW w:w="118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18</w:t>
            </w: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,000</w:t>
            </w:r>
          </w:p>
        </w:tc>
        <w:tc>
          <w:tcPr>
            <w:tcW w:w="1313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</w:t>
            </w: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9</w:t>
            </w: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,000</w:t>
            </w:r>
          </w:p>
        </w:tc>
        <w:tc>
          <w:tcPr>
            <w:tcW w:w="887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863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12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</w:t>
            </w: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3548,800</w:t>
            </w:r>
          </w:p>
        </w:tc>
      </w:tr>
      <w:tr>
        <w:trPr/>
        <w:tc>
          <w:tcPr>
            <w:tcW w:w="509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3) Средства районного бюджета</w:t>
            </w:r>
          </w:p>
        </w:tc>
        <w:tc>
          <w:tcPr>
            <w:tcW w:w="215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32585,850</w:t>
            </w:r>
          </w:p>
        </w:tc>
        <w:tc>
          <w:tcPr>
            <w:tcW w:w="118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eastAsia="Arial"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18116,000</w:t>
            </w:r>
          </w:p>
        </w:tc>
        <w:tc>
          <w:tcPr>
            <w:tcW w:w="1313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eastAsia="Arial"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18358,000</w:t>
            </w:r>
          </w:p>
        </w:tc>
        <w:tc>
          <w:tcPr>
            <w:tcW w:w="887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0</w:t>
            </w:r>
          </w:p>
        </w:tc>
        <w:tc>
          <w:tcPr>
            <w:tcW w:w="863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0</w:t>
            </w:r>
          </w:p>
        </w:tc>
        <w:tc>
          <w:tcPr>
            <w:tcW w:w="12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69059,850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highlight w:val="white"/>
                <w:lang w:val="ru-RU" w:bidi="ar-SA"/>
              </w:rPr>
              <w:t>Региональный проект «Решаем вместе» в рамках инициативного бюджетирования»</w:t>
            </w:r>
          </w:p>
        </w:tc>
        <w:tc>
          <w:tcPr>
            <w:tcW w:w="2151" w:type="dxa"/>
            <w:vMerge w:val="restart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600" w:leader="none"/>
              </w:tabs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  <w:t xml:space="preserve">892 0503 1120260300 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  <w:t>521 300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600" w:leader="none"/>
              </w:tabs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600" w:leader="none"/>
              </w:tabs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  <w:t xml:space="preserve">892 0503 1120270300 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  <w:t>521 200</w:t>
            </w: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</w:t>
            </w:r>
            <w:r>
              <w:rPr>
                <w:rFonts w:cs="Tinos" w:ascii="Times New Roman" w:hAnsi="Times New Roman"/>
                <w:sz w:val="18"/>
                <w:szCs w:val="18"/>
              </w:rPr>
              <w:t>8598,65</w:t>
            </w:r>
          </w:p>
        </w:tc>
        <w:tc>
          <w:tcPr>
            <w:tcW w:w="118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8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sz w:val="18"/>
                <w:szCs w:val="18"/>
              </w:rPr>
              <w:t>1</w:t>
            </w:r>
            <w:r>
              <w:rPr>
                <w:rFonts w:cs="Tinos" w:ascii="Times New Roman" w:hAnsi="Times New Roman"/>
                <w:b/>
                <w:bCs/>
                <w:sz w:val="18"/>
                <w:szCs w:val="18"/>
              </w:rPr>
              <w:t>8598,65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66" w:leader="none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1) Межбюджетные трансферты из федерального бюджета</w:t>
            </w:r>
          </w:p>
        </w:tc>
        <w:tc>
          <w:tcPr>
            <w:tcW w:w="2151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8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8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2) Межбюджетные трансферты из областного бюджета</w:t>
            </w:r>
          </w:p>
        </w:tc>
        <w:tc>
          <w:tcPr>
            <w:tcW w:w="2151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</w:t>
            </w:r>
            <w:r>
              <w:rPr>
                <w:rFonts w:cs="Tinos" w:ascii="Times New Roman" w:hAnsi="Times New Roman"/>
                <w:sz w:val="18"/>
                <w:szCs w:val="18"/>
              </w:rPr>
              <w:t>3494,800</w:t>
            </w:r>
          </w:p>
        </w:tc>
        <w:tc>
          <w:tcPr>
            <w:tcW w:w="118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8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</w:t>
            </w:r>
            <w:r>
              <w:rPr>
                <w:rFonts w:cs="Tinos" w:ascii="Times New Roman" w:hAnsi="Times New Roman"/>
                <w:sz w:val="18"/>
                <w:szCs w:val="18"/>
              </w:rPr>
              <w:t>3494,800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3) Средства районного бюджета</w:t>
            </w:r>
          </w:p>
        </w:tc>
        <w:tc>
          <w:tcPr>
            <w:tcW w:w="2151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5103,844</w:t>
            </w:r>
          </w:p>
        </w:tc>
        <w:tc>
          <w:tcPr>
            <w:tcW w:w="118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8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5103,844</w:t>
            </w:r>
          </w:p>
        </w:tc>
      </w:tr>
      <w:tr>
        <w:trPr/>
        <w:tc>
          <w:tcPr>
            <w:tcW w:w="509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2151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  <w:t xml:space="preserve">892 0503 1140171350 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  <w:t>244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  <w:t>200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/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  <w:t>850 0503 1140161340 244 300</w:t>
            </w:r>
          </w:p>
        </w:tc>
        <w:tc>
          <w:tcPr>
            <w:tcW w:w="11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27499,000</w:t>
            </w:r>
          </w:p>
        </w:tc>
        <w:tc>
          <w:tcPr>
            <w:tcW w:w="118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18</w:t>
            </w:r>
            <w:r>
              <w:rPr>
                <w:rFonts w:cs="Tinos" w:ascii="Times New Roman" w:hAnsi="Times New Roman"/>
                <w:sz w:val="18"/>
                <w:szCs w:val="18"/>
              </w:rPr>
              <w:t>134,000</w:t>
            </w:r>
          </w:p>
        </w:tc>
        <w:tc>
          <w:tcPr>
            <w:tcW w:w="1313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</w:t>
            </w:r>
            <w:r>
              <w:rPr>
                <w:rFonts w:cs="Tinos" w:ascii="Times New Roman" w:hAnsi="Times New Roman"/>
                <w:sz w:val="18"/>
                <w:szCs w:val="18"/>
              </w:rPr>
              <w:t>8377,000</w:t>
            </w:r>
          </w:p>
        </w:tc>
        <w:tc>
          <w:tcPr>
            <w:tcW w:w="887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3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sz w:val="18"/>
                <w:szCs w:val="18"/>
              </w:rPr>
              <w:t>64010,000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66" w:leader="none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1) Межбюджетные трансферты из федерального бюджета</w:t>
            </w:r>
          </w:p>
        </w:tc>
        <w:tc>
          <w:tcPr>
            <w:tcW w:w="2151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8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8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2) Межбюджетные трансферты из областного бюджета</w:t>
            </w:r>
          </w:p>
        </w:tc>
        <w:tc>
          <w:tcPr>
            <w:tcW w:w="2151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17,000</w:t>
            </w:r>
          </w:p>
        </w:tc>
        <w:tc>
          <w:tcPr>
            <w:tcW w:w="118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18,000</w:t>
            </w:r>
          </w:p>
        </w:tc>
        <w:tc>
          <w:tcPr>
            <w:tcW w:w="13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19,000</w:t>
            </w:r>
          </w:p>
        </w:tc>
        <w:tc>
          <w:tcPr>
            <w:tcW w:w="88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54</w:t>
            </w:r>
            <w:r>
              <w:rPr>
                <w:rFonts w:cs="Tinos" w:ascii="Times New Roman" w:hAnsi="Times New Roman"/>
                <w:sz w:val="18"/>
                <w:szCs w:val="18"/>
              </w:rPr>
              <w:t>,000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3) Средства районного бюджета</w:t>
            </w:r>
          </w:p>
        </w:tc>
        <w:tc>
          <w:tcPr>
            <w:tcW w:w="2151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27482,000</w:t>
            </w:r>
          </w:p>
        </w:tc>
        <w:tc>
          <w:tcPr>
            <w:tcW w:w="118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18116,000</w:t>
            </w:r>
          </w:p>
        </w:tc>
        <w:tc>
          <w:tcPr>
            <w:tcW w:w="13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18358,000</w:t>
            </w:r>
          </w:p>
        </w:tc>
        <w:tc>
          <w:tcPr>
            <w:tcW w:w="88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63956,000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</w:rPr>
      </w:r>
    </w:p>
    <w:sectPr>
      <w:headerReference w:type="default" r:id="rId4"/>
      <w:headerReference w:type="first" r:id="rId5"/>
      <w:type w:val="nextPage"/>
      <w:pgSz w:orient="landscape" w:w="16838" w:h="11906"/>
      <w:pgMar w:left="1701" w:right="850" w:gutter="0" w:header="388" w:top="813" w:footer="0" w:bottom="113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Calibri">
    <w:charset w:val="01"/>
    <w:family w:val="roman"/>
    <w:pitch w:val="default"/>
  </w:font>
  <w:font w:name="Tinos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sz w:val="28"/>
        <w:szCs w:val="28"/>
        <w:rFonts w:ascii="Times New Roman" w:hAnsi="Times New Roman"/>
      </w:rPr>
      <w:instrText xml:space="preserve"> PAGE </w:instrText>
    </w:r>
    <w:r>
      <w:rPr>
        <w:sz w:val="28"/>
        <w:szCs w:val="28"/>
        <w:rFonts w:ascii="Times New Roman" w:hAnsi="Times New Roman"/>
      </w:rPr>
      <w:fldChar w:fldCharType="separate"/>
    </w:r>
    <w:r>
      <w:rPr>
        <w:sz w:val="28"/>
        <w:szCs w:val="28"/>
        <w:rFonts w:ascii="Times New Roman" w:hAnsi="Times New Roman"/>
      </w:rPr>
      <w:t>2</w:t>
    </w:r>
    <w:r>
      <w:rPr>
        <w:sz w:val="28"/>
        <w:szCs w:val="28"/>
        <w:rFonts w:ascii="Times New Roman" w:hAnsi="Times New Roman"/>
      </w:rPr>
      <w:fldChar w:fldCharType="end"/>
    </w:r>
  </w:p>
  <w:p>
    <w:pPr>
      <w:pStyle w:val="Style24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3</w:t>
    </w:r>
    <w:r>
      <w:rPr>
        <w:rFonts w:ascii="Times New Roman" w:hAnsi="Times New Roman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semiHidden="1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ind w:left="0" w:right="0" w:firstLine="709"/>
      <w:contextualSpacing/>
      <w:jc w:val="left"/>
    </w:pPr>
    <w:rPr>
      <w:rFonts w:ascii="Arial" w:hAnsi="Arial" w:eastAsia="Arial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pPr>
      <w:keepNext w:val="true"/>
      <w:keepLines/>
      <w:spacing w:before="480" w:after="200"/>
      <w:contextualSpacing w:val="false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unhideWhenUsed/>
    <w:qFormat/>
    <w:pPr>
      <w:keepNext w:val="true"/>
      <w:keepLines/>
      <w:spacing w:before="360" w:after="200"/>
      <w:contextualSpacing w:val="false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31"/>
    <w:uiPriority w:val="9"/>
    <w:unhideWhenUsed/>
    <w:qFormat/>
    <w:pPr>
      <w:keepNext w:val="true"/>
      <w:keepLines/>
      <w:spacing w:before="320" w:after="200"/>
      <w:contextualSpacing w:val="false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41"/>
    <w:uiPriority w:val="9"/>
    <w:unhideWhenUsed/>
    <w:qFormat/>
    <w:pPr>
      <w:keepNext w:val="true"/>
      <w:keepLines/>
      <w:spacing w:before="320" w:after="200"/>
      <w:contextualSpacing w:val="false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51"/>
    <w:uiPriority w:val="9"/>
    <w:unhideWhenUsed/>
    <w:qFormat/>
    <w:pPr>
      <w:keepNext w:val="true"/>
      <w:keepLines/>
      <w:spacing w:before="320" w:after="200"/>
      <w:contextualSpacing w:val="false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next w:val="Normal"/>
    <w:link w:val="61"/>
    <w:uiPriority w:val="9"/>
    <w:unhideWhenUsed/>
    <w:qFormat/>
    <w:pPr>
      <w:keepNext w:val="true"/>
      <w:keepLines/>
      <w:spacing w:before="320" w:after="200"/>
      <w:contextualSpacing w:val="false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Normal"/>
    <w:next w:val="Normal"/>
    <w:link w:val="71"/>
    <w:uiPriority w:val="9"/>
    <w:unhideWhenUsed/>
    <w:qFormat/>
    <w:pPr>
      <w:keepNext w:val="true"/>
      <w:keepLines/>
      <w:spacing w:before="320" w:after="200"/>
      <w:contextualSpacing w:val="false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Normal"/>
    <w:next w:val="Normal"/>
    <w:link w:val="81"/>
    <w:uiPriority w:val="9"/>
    <w:unhideWhenUsed/>
    <w:qFormat/>
    <w:pPr>
      <w:keepNext w:val="true"/>
      <w:keepLines/>
      <w:spacing w:before="320" w:after="200"/>
      <w:contextualSpacing w:val="false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Normal"/>
    <w:next w:val="Normal"/>
    <w:link w:val="91"/>
    <w:uiPriority w:val="9"/>
    <w:unhideWhenUsed/>
    <w:qFormat/>
    <w:pPr>
      <w:keepNext w:val="true"/>
      <w:keepLines/>
      <w:spacing w:before="320" w:after="200"/>
      <w:contextualSpacing w:val="false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Style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-">
    <w:name w:val="Hyperlink"/>
    <w:uiPriority w:val="99"/>
    <w:unhideWhenUsed/>
    <w:qFormat/>
    <w:rPr>
      <w:color w:val="0563C1" w:themeColor="hyperlink"/>
      <w:u w:val="single"/>
    </w:rPr>
  </w:style>
  <w:style w:type="character" w:styleId="11" w:customStyle="1">
    <w:name w:val="Заголовок 1 Знак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9" w:customStyle="1">
    <w:name w:val="Название Знак"/>
    <w:uiPriority w:val="10"/>
    <w:qFormat/>
    <w:rPr>
      <w:sz w:val="48"/>
      <w:szCs w:val="48"/>
    </w:rPr>
  </w:style>
  <w:style w:type="character" w:styleId="Style10" w:customStyle="1">
    <w:name w:val="Подзаголовок Знак"/>
    <w:uiPriority w:val="11"/>
    <w:qFormat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Pr>
      <w:i/>
    </w:rPr>
  </w:style>
  <w:style w:type="character" w:styleId="Style11" w:customStyle="1">
    <w:name w:val="Выделенная цитата Знак"/>
    <w:link w:val="IntenseQuote"/>
    <w:uiPriority w:val="30"/>
    <w:qFormat/>
    <w:rPr>
      <w:i/>
    </w:rPr>
  </w:style>
  <w:style w:type="character" w:styleId="Style12" w:customStyle="1">
    <w:name w:val="Верхний колонтитул Знак"/>
    <w:uiPriority w:val="99"/>
    <w:qFormat/>
    <w:rPr/>
  </w:style>
  <w:style w:type="character" w:styleId="FooterChar" w:customStyle="1">
    <w:name w:val="Footer Char"/>
    <w:uiPriority w:val="99"/>
    <w:qFormat/>
    <w:rPr/>
  </w:style>
  <w:style w:type="character" w:styleId="Style13" w:customStyle="1">
    <w:name w:val="Нижний колонтитул Знак"/>
    <w:uiPriority w:val="99"/>
    <w:qFormat/>
    <w:rPr/>
  </w:style>
  <w:style w:type="character" w:styleId="Style14" w:customStyle="1">
    <w:name w:val="Текст сноски Знак"/>
    <w:uiPriority w:val="99"/>
    <w:qFormat/>
    <w:rPr>
      <w:sz w:val="18"/>
    </w:rPr>
  </w:style>
  <w:style w:type="character" w:styleId="Style15" w:customStyle="1">
    <w:name w:val="Текст концевой сноски Знак"/>
    <w:uiPriority w:val="99"/>
    <w:qFormat/>
    <w:rPr>
      <w:sz w:val="20"/>
    </w:rPr>
  </w:style>
  <w:style w:type="character" w:styleId="23" w:customStyle="1">
    <w:name w:val="Основной текст (2)"/>
    <w:qFormat/>
    <w:rPr>
      <w:rFonts w:ascii="Times New Roman" w:hAnsi="Times New Roman" w:eastAsia="Times New Roman" w:cs="Times New Roman"/>
      <w:color w:val="000000"/>
      <w:spacing w:val="0"/>
      <w:sz w:val="28"/>
      <w:szCs w:val="28"/>
      <w:u w:val="none"/>
      <w:lang w:val="ru-RU" w:eastAsia="ru-RU" w:bidi="ru-RU"/>
    </w:rPr>
  </w:style>
  <w:style w:type="character" w:styleId="12">
    <w:name w:val="Основной шрифт абзаца1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  <w:contextualSpacing w:val="false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  <w:contextualSpacing w:val="false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  <w:contextualSpacing w:val="false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1">
    <w:name w:val="Endnote Text"/>
    <w:basedOn w:val="Normal"/>
    <w:link w:val="Style15"/>
    <w:uiPriority w:val="99"/>
    <w:semiHidden/>
    <w:unhideWhenUsed/>
    <w:pPr>
      <w:spacing w:lineRule="auto" w:line="240" w:before="0" w:after="0"/>
      <w:contextualSpacing w:val="false"/>
    </w:pPr>
    <w:rPr>
      <w:sz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pPr/>
    <w:rPr>
      <w:b/>
      <w:bCs/>
      <w:color w:val="5B9BD5" w:themeColor="accent1"/>
      <w:sz w:val="18"/>
      <w:szCs w:val="18"/>
    </w:rPr>
  </w:style>
  <w:style w:type="paragraph" w:styleId="Style22">
    <w:name w:val="Footnote Text"/>
    <w:basedOn w:val="Normal"/>
    <w:link w:val="Style14"/>
    <w:uiPriority w:val="99"/>
    <w:semiHidden/>
    <w:unhideWhenUsed/>
    <w:qFormat/>
    <w:pPr>
      <w:spacing w:lineRule="auto" w:line="240" w:before="0" w:after="0"/>
      <w:contextualSpacing/>
    </w:pPr>
    <w:rPr>
      <w:sz w:val="18"/>
    </w:rPr>
  </w:style>
  <w:style w:type="paragraph" w:styleId="82">
    <w:name w:val="TOC 8"/>
    <w:basedOn w:val="Normal"/>
    <w:next w:val="Normal"/>
    <w:uiPriority w:val="39"/>
    <w:unhideWhenUsed/>
    <w:qFormat/>
    <w:pPr>
      <w:spacing w:before="0" w:after="57"/>
      <w:ind w:left="1984" w:right="0" w:hanging="0"/>
      <w:contextualSpacing w:val="false"/>
    </w:pPr>
    <w:rPr/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2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  <w:contextualSpacing w:val="false"/>
    </w:pPr>
    <w:rPr/>
  </w:style>
  <w:style w:type="paragraph" w:styleId="92">
    <w:name w:val="TOC 9"/>
    <w:basedOn w:val="Normal"/>
    <w:next w:val="Normal"/>
    <w:uiPriority w:val="39"/>
    <w:unhideWhenUsed/>
    <w:qFormat/>
    <w:pPr>
      <w:spacing w:before="0" w:after="57"/>
      <w:ind w:left="2268" w:right="0" w:hanging="0"/>
      <w:contextualSpacing w:val="false"/>
    </w:pPr>
    <w:rPr/>
  </w:style>
  <w:style w:type="paragraph" w:styleId="72">
    <w:name w:val="TOC 7"/>
    <w:basedOn w:val="Normal"/>
    <w:next w:val="Normal"/>
    <w:uiPriority w:val="39"/>
    <w:unhideWhenUsed/>
    <w:qFormat/>
    <w:pPr>
      <w:spacing w:before="0" w:after="57"/>
      <w:ind w:left="1701" w:right="0" w:hanging="0"/>
      <w:contextualSpacing w:val="false"/>
    </w:pPr>
    <w:rPr/>
  </w:style>
  <w:style w:type="paragraph" w:styleId="13">
    <w:name w:val="TOC 1"/>
    <w:basedOn w:val="Normal"/>
    <w:next w:val="Normal"/>
    <w:uiPriority w:val="39"/>
    <w:unhideWhenUsed/>
    <w:pPr>
      <w:spacing w:before="0" w:after="57"/>
      <w:contextualSpacing w:val="false"/>
    </w:pPr>
    <w:rPr/>
  </w:style>
  <w:style w:type="paragraph" w:styleId="62">
    <w:name w:val="TOC 6"/>
    <w:basedOn w:val="Normal"/>
    <w:next w:val="Normal"/>
    <w:uiPriority w:val="39"/>
    <w:unhideWhenUsed/>
    <w:qFormat/>
    <w:pPr>
      <w:spacing w:before="0" w:after="57"/>
      <w:ind w:left="1417" w:right="0" w:hanging="0"/>
      <w:contextualSpacing w:val="false"/>
    </w:pPr>
    <w:rPr/>
  </w:style>
  <w:style w:type="paragraph" w:styleId="Tableoffigures">
    <w:name w:val="table of figures"/>
    <w:basedOn w:val="Normal"/>
    <w:next w:val="Normal"/>
    <w:uiPriority w:val="99"/>
    <w:unhideWhenUsed/>
    <w:qFormat/>
    <w:pPr>
      <w:spacing w:before="0" w:after="0"/>
      <w:contextualSpacing w:val="false"/>
    </w:pPr>
    <w:rPr/>
  </w:style>
  <w:style w:type="paragraph" w:styleId="32">
    <w:name w:val="TOC 3"/>
    <w:basedOn w:val="Normal"/>
    <w:next w:val="Normal"/>
    <w:uiPriority w:val="39"/>
    <w:unhideWhenUsed/>
    <w:qFormat/>
    <w:pPr>
      <w:spacing w:before="0" w:after="57"/>
      <w:ind w:left="567" w:right="0" w:hanging="0"/>
      <w:contextualSpacing w:val="false"/>
    </w:pPr>
    <w:rPr/>
  </w:style>
  <w:style w:type="paragraph" w:styleId="24">
    <w:name w:val="TOC 2"/>
    <w:basedOn w:val="Normal"/>
    <w:next w:val="Normal"/>
    <w:uiPriority w:val="39"/>
    <w:unhideWhenUsed/>
    <w:qFormat/>
    <w:pPr>
      <w:spacing w:before="0" w:after="57"/>
      <w:ind w:left="283" w:right="0" w:hanging="0"/>
      <w:contextualSpacing w:val="false"/>
    </w:pPr>
    <w:rPr/>
  </w:style>
  <w:style w:type="paragraph" w:styleId="42">
    <w:name w:val="TOC 4"/>
    <w:basedOn w:val="Normal"/>
    <w:next w:val="Normal"/>
    <w:uiPriority w:val="39"/>
    <w:unhideWhenUsed/>
    <w:pPr>
      <w:spacing w:before="0" w:after="57"/>
      <w:ind w:left="850" w:right="0" w:hanging="0"/>
      <w:contextualSpacing w:val="false"/>
    </w:pPr>
    <w:rPr/>
  </w:style>
  <w:style w:type="paragraph" w:styleId="52">
    <w:name w:val="TOC 5"/>
    <w:basedOn w:val="Normal"/>
    <w:next w:val="Normal"/>
    <w:uiPriority w:val="39"/>
    <w:unhideWhenUsed/>
    <w:qFormat/>
    <w:pPr>
      <w:spacing w:before="0" w:after="57"/>
      <w:ind w:left="1134" w:right="0" w:hanging="0"/>
      <w:contextualSpacing w:val="false"/>
    </w:pPr>
    <w:rPr/>
  </w:style>
  <w:style w:type="paragraph" w:styleId="Style25">
    <w:name w:val="Title"/>
    <w:basedOn w:val="Normal"/>
    <w:next w:val="Normal"/>
    <w:link w:val="Style9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6">
    <w:name w:val="Footer"/>
    <w:basedOn w:val="Normal"/>
    <w:link w:val="Style13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  <w:contextualSpacing w:val="false"/>
    </w:pPr>
    <w:rPr/>
  </w:style>
  <w:style w:type="paragraph" w:styleId="Style27">
    <w:name w:val="Subtitle"/>
    <w:basedOn w:val="Normal"/>
    <w:next w:val="Normal"/>
    <w:link w:val="Style10"/>
    <w:uiPriority w:val="11"/>
    <w:qFormat/>
    <w:pPr>
      <w:spacing w:before="200" w:after="200"/>
      <w:contextualSpacing w:val="false"/>
    </w:pPr>
    <w:rPr>
      <w:sz w:val="24"/>
      <w:szCs w:val="24"/>
    </w:rPr>
  </w:style>
  <w:style w:type="paragraph" w:styleId="Quote">
    <w:name w:val="Quote"/>
    <w:basedOn w:val="Normal"/>
    <w:next w:val="Normal"/>
    <w:link w:val="2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11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14" w:customStyle="1">
    <w:name w:val="Заголовок оглавления1"/>
    <w:uiPriority w:val="39"/>
    <w:unhideWhenUsed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Arial" w:hAnsi="Arial" w:eastAsia="Arial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NoSpacing">
    <w:name w:val="No Spacing"/>
    <w:basedOn w:val="Normal"/>
    <w:uiPriority w:val="1"/>
    <w:qFormat/>
    <w:pPr>
      <w:spacing w:lineRule="auto" w:line="240" w:before="0" w:after="0"/>
      <w:contextualSpacing w:val="false"/>
    </w:pPr>
    <w:rPr/>
  </w:style>
  <w:style w:type="paragraph" w:styleId="ListParagraph">
    <w:name w:val="List Paragraph"/>
    <w:basedOn w:val="Normal"/>
    <w:uiPriority w:val="34"/>
    <w:qFormat/>
    <w:pPr>
      <w:spacing w:before="0" w:after="200"/>
      <w:ind w:left="720" w:right="0" w:hanging="0"/>
      <w:contextualSpacing/>
    </w:pPr>
    <w:rPr/>
  </w:style>
  <w:style w:type="paragraph" w:styleId="ConsPlusNormal" w:customStyle="1">
    <w:name w:val="ConsPlusNormal"/>
    <w:qFormat/>
    <w:pPr>
      <w:widowControl/>
      <w:shd w:val="clear" w:color="000000" w:fill="auto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val="en-US" w:eastAsia="zh-CN" w:bidi="ar-SA"/>
    </w:rPr>
  </w:style>
  <w:style w:type="paragraph" w:styleId="211" w:customStyle="1">
    <w:name w:val="Основной текст 21"/>
    <w:qFormat/>
    <w:pPr>
      <w:widowControl/>
      <w:shd w:val="clear" w:color="000000" w:fill="auto"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zh-CN" w:bidi="ar-SA"/>
    </w:rPr>
  </w:style>
  <w:style w:type="paragraph" w:styleId="Style28">
    <w:name w:val="Содержимое таблицы"/>
    <w:basedOn w:val="Normal"/>
    <w:qFormat/>
    <w:pPr>
      <w:widowControl w:val="false"/>
      <w:suppressLineNumbers/>
      <w:spacing w:lineRule="auto" w:line="240" w:before="0" w:after="0"/>
      <w:contextualSpacing w:val="false"/>
    </w:pPr>
    <w:rPr/>
  </w:style>
  <w:style w:type="paragraph" w:styleId="Style29">
    <w:name w:val="Заголовок таблицы"/>
    <w:basedOn w:val="Style28"/>
    <w:qFormat/>
    <w:pPr>
      <w:suppressLineNumbers/>
      <w:jc w:val="center"/>
    </w:pPr>
    <w:rPr>
      <w:b/>
      <w:bCs/>
    </w:rPr>
  </w:style>
  <w:style w:type="paragraph" w:styleId="TableParagraph">
    <w:name w:val="Table Paragraph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qFormat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qFormat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310">
    <w:name w:val="Таблица простая 31"/>
    <w:basedOn w:val="a1"/>
    <w:uiPriority w:val="99"/>
    <w:qFormat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qFormat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qFormat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9EC4E6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CD6EE" w:themeColor="accent1" w:sz="4" w:space="0"/>
          <w:left w:val="single" w:color="BCD6EE" w:themeColor="accent1" w:sz="4" w:space="0"/>
          <w:bottom w:val="single" w:color="BCD6EE" w:themeColor="accent1" w:sz="4" w:space="0"/>
          <w:right w:val="single" w:color="BCD6EE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F4B286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CACACA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FFDA6A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91ACDC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3C5E7" w:themeColor="accent5" w:sz="4" w:space="0"/>
          <w:left w:val="single" w:color="B3C5E7" w:themeColor="accent5" w:sz="4" w:space="0"/>
          <w:bottom w:val="single" w:color="B3C5E7" w:themeColor="accent5" w:sz="4" w:space="0"/>
          <w:right w:val="single" w:color="B3C5E7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AAD190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6A6A6A" w:themeColor="text1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68A2D8" w:themeColor="accent1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8A2D8" w:themeColor="accent1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F4B184" w:themeColor="accent2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4B184" w:themeColor="accent2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A5A5A5" w:themeColor="accent3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FFD865" w:themeColor="accent4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FD865" w:themeColor="accent4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4472C4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68A2D8" w:themeColor="accent1" w:sz="4" w:space="0"/>
          <w:left w:val="single" w:color="68A2D8" w:themeColor="accent1" w:sz="4" w:space="0"/>
          <w:bottom w:val="single" w:color="68A2D8" w:themeColor="accent1" w:sz="4" w:space="0"/>
          <w:right w:val="single" w:color="68A2D8" w:themeColor="accent1" w:sz="4" w:space="0"/>
        </w:tcBorders>
        <w:shd w:val="clear" w:color="68A2D8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68A2D8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F4B184" w:themeColor="accent2" w:sz="4" w:space="0"/>
          <w:left w:val="single" w:color="F4B184" w:themeColor="accent2" w:sz="4" w:space="0"/>
          <w:bottom w:val="single" w:color="F4B184" w:themeColor="accent2" w:sz="4" w:space="0"/>
          <w:right w:val="single" w:color="F4B184" w:themeColor="accent2" w:sz="4" w:space="0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FFD865" w:themeColor="accent4" w:sz="4" w:space="0"/>
          <w:left w:val="single" w:color="FFD865" w:themeColor="accent4" w:sz="4" w:space="0"/>
          <w:bottom w:val="single" w:color="FFD865" w:themeColor="accent4" w:sz="4" w:space="0"/>
          <w:right w:val="single" w:color="FFD865" w:themeColor="accent4" w:sz="4" w:space="0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5B9BD5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472C4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val="7F7F7F" w:themeColor="text1" w:themeTint="80"/>
      </w:rPr>
      <w:tblPr/>
    </w:tblStylePr>
    <w:tblStylePr w:type="firstCol">
      <w:rPr>
        <w:b/>
        <w:color w:val="7F7F7F" w:themeColor="text1" w:themeTint="80"/>
      </w:rPr>
      <w:tblPr/>
    </w:tblStylePr>
    <w:tblStylePr w:type="lastCol">
      <w:rPr>
        <w:b/>
        <w:color w:val="7F7F7F" w:themeColor="text1" w:themeTint="80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/>
      </w:rPr>
      <w:tblPr/>
      <w:tcPr>
        <w:tcBorders>
          <w:bottom w:val="single" w:color="ACCCEA" w:themeColor="accent1" w:sz="12" w:space="0"/>
        </w:tcBorders>
      </w:tcPr>
    </w:tblStylePr>
    <w:tblStylePr w:type="lastRow">
      <w:rPr>
        <w:b/>
        <w:color w:val="ACCCEA" w:themeColor="accent1" w:themeTint="80"/>
      </w:rPr>
      <w:tblPr/>
    </w:tblStylePr>
    <w:tblStylePr w:type="firstCol">
      <w:rPr>
        <w:b/>
        <w:color w:val="ACCCEA" w:themeColor="accent1" w:themeTint="80"/>
      </w:rPr>
      <w:tblPr/>
    </w:tblStylePr>
    <w:tblStylePr w:type="lastCol">
      <w:rPr>
        <w:b/>
        <w:color w:val="ACCCEA" w:themeColor="accent1" w:themeTint="80"/>
      </w:rPr>
      <w:tblPr/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b/>
        <w:color w:val="F4B285" w:themeColor="accent2" w:themeTint="96"/>
      </w:rPr>
      <w:tblPr/>
    </w:tblStylePr>
    <w:tblStylePr w:type="firstCol">
      <w:rPr>
        <w:b/>
        <w:color w:val="F4B285" w:themeColor="accent2" w:themeTint="96"/>
      </w:rPr>
      <w:tblPr/>
    </w:tblStylePr>
    <w:tblStylePr w:type="lastCol">
      <w:rPr>
        <w:b/>
        <w:color w:val="F4B285" w:themeColor="accent2" w:themeTint="96"/>
      </w:rPr>
      <w:tblPr/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285" w:themeColor="accent2" w:themeTint="96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285" w:themeColor="accent2" w:themeTint="96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/>
      </w:rPr>
      <w:tblPr/>
      <w:tcPr>
        <w:tcBorders>
          <w:bottom w:val="single" w:color="A5A5A5" w:themeColor="accent3" w:sz="12" w:space="0"/>
        </w:tcBorders>
      </w:tcPr>
    </w:tblStylePr>
    <w:tblStylePr w:type="lastRow">
      <w:rPr>
        <w:b/>
        <w:color w:val="A5A5A5" w:themeColor="accent3"/>
      </w:rPr>
      <w:tblPr/>
    </w:tblStylePr>
    <w:tblStylePr w:type="firstCol">
      <w:rPr>
        <w:b/>
        <w:color w:val="A5A5A5" w:themeColor="accent3"/>
      </w:rPr>
      <w:tblPr/>
    </w:tblStylePr>
    <w:tblStylePr w:type="lastCol">
      <w:rPr>
        <w:b/>
        <w:color w:val="A5A5A5" w:themeColor="accent3"/>
      </w:rPr>
      <w:tblPr/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b/>
        <w:color w:val="FFD966" w:themeColor="accent4" w:themeTint="99"/>
      </w:rPr>
      <w:tblPr/>
    </w:tblStylePr>
    <w:tblStylePr w:type="firstCol">
      <w:rPr>
        <w:b/>
        <w:color w:val="FFD966" w:themeColor="accent4" w:themeTint="99"/>
      </w:rPr>
      <w:tblPr/>
    </w:tblStylePr>
    <w:tblStylePr w:type="lastCol">
      <w:rPr>
        <w:b/>
        <w:color w:val="FFD966" w:themeColor="accent4" w:themeTint="99"/>
      </w:rPr>
      <w:tblPr/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966" w:themeColor="accent4" w:themeTint="99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966" w:themeColor="accent4" w:themeTint="99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44174" w:themeColor="accent5" w:themeShade="94"/>
      </w:rPr>
      <w:tblPr/>
    </w:tblStylePr>
    <w:tblStylePr w:type="firstCol">
      <w:rPr>
        <w:b/>
        <w:color w:val="244174" w:themeColor="accent5" w:themeShade="94"/>
      </w:rPr>
      <w:tblPr/>
    </w:tblStylePr>
    <w:tblStylePr w:type="lastCol">
      <w:rPr>
        <w:b/>
        <w:color w:val="244174" w:themeColor="accent5" w:themeShade="94"/>
      </w:rPr>
      <w:tblPr/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44174" w:themeColor="accent5" w:themeShade="94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44174" w:themeColor="accent5" w:themeShade="94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44174" w:themeColor="accent5" w:themeShade="94"/>
      </w:rPr>
      <w:tblPr/>
    </w:tblStylePr>
    <w:tblStylePr w:type="firstCol">
      <w:rPr>
        <w:b/>
        <w:color w:val="244174" w:themeColor="accent5" w:themeShade="94"/>
      </w:rPr>
      <w:tblPr/>
    </w:tblStylePr>
    <w:tblStylePr w:type="lastCol">
      <w:rPr>
        <w:b/>
        <w:color w:val="244174" w:themeColor="accent5" w:themeShade="94"/>
      </w:rPr>
      <w:tblPr/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44174" w:themeColor="accent5" w:themeShade="94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44174" w:themeColor="accent5" w:themeShade="94"/>
        <w:sz w:val="22"/>
      </w:rPr>
      <w:tblPr/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color="7F7F7F" w:themeColor="text1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/>
        <w:sz w:val="22"/>
      </w:rPr>
      <w:tblPr/>
      <w:tcPr>
        <w:tcBorders>
          <w:top w:val="single" w:color="7F7F7F" w:themeColor="tex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/>
        <w:sz w:val="22"/>
      </w:rPr>
      <w:tblPr/>
      <w:tcPr>
        <w:tcBorders>
          <w:top w:val="nil"/>
          <w:left w:val="single" w:color="7F7F7F" w:themeColor="text1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color="ACCCEA" w:themeColor="accent1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/>
        <w:sz w:val="22"/>
      </w:rPr>
      <w:tblPr/>
      <w:tcPr>
        <w:tcBorders>
          <w:top w:val="single" w:color="ACCCEA" w:themeColor="accen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color="ACCCEA" w:themeColor="accent1" w:sz="4" w:space="0"/>
        </w:tcBorders>
        <w:shd w:val="clear" w:color="FFFFFF" w:fill="auto"/>
      </w:tcPr>
    </w:tblStylePr>
    <w:tblStylePr w:type="lastCol">
      <w:rPr>
        <w:i/>
        <w:color w:val="ACCCEA" w:themeColor="accent1" w:themeTint="80"/>
        <w:sz w:val="22"/>
      </w:rPr>
      <w:tblPr/>
      <w:tcPr>
        <w:tcBorders>
          <w:top w:val="nil"/>
          <w:left w:val="single" w:color="ACCCEA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color="F4B184" w:themeColor="accent2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F4B285" w:themeColor="accent2" w:themeTint="96"/>
        <w:sz w:val="22"/>
      </w:rPr>
      <w:tblPr/>
      <w:tcPr>
        <w:tcBorders>
          <w:top w:val="single" w:color="F4B184" w:themeColor="accent2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val="F4B285" w:themeColor="accent2" w:themeTint="96"/>
        <w:sz w:val="22"/>
      </w:rPr>
      <w:tblPr/>
      <w:tcPr>
        <w:tcBorders>
          <w:top w:val="nil"/>
          <w:left w:val="single" w:color="F4B184" w:themeColor="accent2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285" w:themeColor="accent2" w:themeTint="96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285" w:themeColor="accent2" w:themeTint="96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/>
        <w:sz w:val="22"/>
      </w:rPr>
      <w:tblPr/>
      <w:tcPr>
        <w:tcBorders>
          <w:top w:val="nil"/>
          <w:left w:val="nil"/>
          <w:bottom w:val="single" w:color="A5A5A5" w:themeColor="accent3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A5A5A5" w:themeColor="accent3"/>
        <w:sz w:val="22"/>
      </w:rPr>
      <w:tblPr/>
      <w:tcPr>
        <w:tcBorders>
          <w:top w:val="single" w:color="A5A5A5" w:themeColor="accent3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val="A5A5A5" w:themeColor="accent3"/>
        <w:sz w:val="22"/>
      </w:rPr>
      <w:tblPr/>
      <w:tcPr>
        <w:tcBorders>
          <w:top w:val="nil"/>
          <w:left w:val="single" w:color="A5A5A5" w:themeColor="accent3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color="FFD865" w:themeColor="accent4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FFD966" w:themeColor="accent4" w:themeTint="99"/>
        <w:sz w:val="22"/>
      </w:rPr>
      <w:tblPr/>
      <w:tcPr>
        <w:tcBorders>
          <w:top w:val="single" w:color="FFD865" w:themeColor="accent4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val="FFD966" w:themeColor="accent4" w:themeTint="99"/>
        <w:sz w:val="22"/>
      </w:rPr>
      <w:tblPr/>
      <w:tcPr>
        <w:tcBorders>
          <w:top w:val="nil"/>
          <w:left w:val="single" w:color="FFD865" w:themeColor="accent4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966" w:themeColor="accent4" w:themeTint="99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966" w:themeColor="accent4" w:themeTint="99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color="95AFDD" w:themeColor="accent5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244174" w:themeColor="accent5" w:themeShade="94"/>
        <w:sz w:val="22"/>
      </w:rPr>
      <w:tblPr/>
      <w:tcPr>
        <w:tcBorders>
          <w:top w:val="single" w:color="95AFDD" w:themeColor="accent5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color="95AFDD" w:themeColor="accent5" w:sz="4" w:space="0"/>
        </w:tcBorders>
        <w:shd w:val="clear" w:color="FFFFFF" w:fill="auto"/>
      </w:tcPr>
    </w:tblStylePr>
    <w:tblStylePr w:type="lastCol">
      <w:rPr>
        <w:i/>
        <w:color w:val="244174" w:themeColor="accent5" w:themeShade="94"/>
        <w:sz w:val="22"/>
      </w:rPr>
      <w:tblPr/>
      <w:tcPr>
        <w:tcBorders>
          <w:top w:val="nil"/>
          <w:left w:val="single" w:color="95AFDD" w:themeColor="accent5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44174" w:themeColor="accent5" w:themeShade="94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44174" w:themeColor="accent5" w:themeShade="94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color="ADD394" w:themeColor="accent6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406429" w:themeColor="accent6" w:themeShade="94"/>
        <w:sz w:val="22"/>
      </w:rPr>
      <w:tblPr/>
      <w:tcPr>
        <w:tcBorders>
          <w:top w:val="single" w:color="ADD394" w:themeColor="accent6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color="ADD394" w:themeColor="accent6" w:sz="4" w:space="0"/>
        </w:tcBorders>
        <w:shd w:val="clear" w:color="FFFFFF" w:fill="auto"/>
      </w:tcPr>
    </w:tblStylePr>
    <w:tblStylePr w:type="lastCol">
      <w:rPr>
        <w:i/>
        <w:color w:val="406429" w:themeColor="accent6" w:themeShade="94"/>
        <w:sz w:val="22"/>
      </w:rPr>
      <w:tblPr/>
      <w:tcPr>
        <w:tcBorders>
          <w:top w:val="nil"/>
          <w:left w:val="single" w:color="ADD394" w:themeColor="accent6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06429" w:themeColor="accent6" w:themeShade="94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06429" w:themeColor="accent6" w:themeShade="94"/>
        <w:sz w:val="22"/>
      </w:rPr>
      <w:tblPr/>
    </w:tblStylePr>
  </w:style>
  <w:style w:type="table" w:customStyle="1" w:styleId="-110">
    <w:name w:val="Список-таблица 1 светлая1"/>
    <w:basedOn w:val="a1"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5B9BD5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4472C4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il"/>
          <w:bottom w:val="single" w:color="6F6F6F" w:themeColor="text1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il"/>
          <w:bottom w:val="single" w:color="6F6F6F" w:themeColor="text1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A2C6E7" w:themeColor="accent1" w:sz="4" w:space="0"/>
          <w:left w:val="nil"/>
          <w:bottom w:val="single" w:color="A2C6E7" w:themeColor="accent1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A2C6E7" w:themeColor="accent1" w:sz="4" w:space="0"/>
          <w:left w:val="nil"/>
          <w:bottom w:val="single" w:color="A2C6E7" w:themeColor="accent1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F4B58A" w:themeColor="accent2" w:sz="4" w:space="0"/>
          <w:left w:val="nil"/>
          <w:bottom w:val="single" w:color="F4B58A" w:themeColor="accent2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4B58A" w:themeColor="accent2" w:sz="4" w:space="0"/>
          <w:left w:val="nil"/>
          <w:bottom w:val="single" w:color="F4B58A" w:themeColor="accent2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CCCCCC" w:themeColor="accent3" w:sz="4" w:space="0"/>
          <w:left w:val="nil"/>
          <w:bottom w:val="single" w:color="CCCCCC" w:themeColor="accent3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CCCCC" w:themeColor="accent3" w:sz="4" w:space="0"/>
          <w:left w:val="nil"/>
          <w:bottom w:val="single" w:color="CCCCCC" w:themeColor="accent3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FFDB6F" w:themeColor="accent4" w:sz="4" w:space="0"/>
          <w:left w:val="nil"/>
          <w:bottom w:val="single" w:color="FFDB6F" w:themeColor="accent4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FDB6F" w:themeColor="accent4" w:sz="4" w:space="0"/>
          <w:left w:val="nil"/>
          <w:bottom w:val="single" w:color="FFDB6F" w:themeColor="accent4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95AFDD" w:themeColor="accent5" w:sz="4" w:space="0"/>
          <w:left w:val="nil"/>
          <w:bottom w:val="single" w:color="95AFDD" w:themeColor="accent5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5AFDD" w:themeColor="accent5" w:sz="4" w:space="0"/>
          <w:left w:val="nil"/>
          <w:bottom w:val="single" w:color="95AFDD" w:themeColor="accent5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ADD394" w:themeColor="accent6" w:sz="4" w:space="0"/>
          <w:left w:val="nil"/>
          <w:bottom w:val="single" w:color="ADD394" w:themeColor="accent6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ADD394" w:themeColor="accent6" w:sz="4" w:space="0"/>
          <w:left w:val="nil"/>
          <w:bottom w:val="single" w:color="ADD394" w:themeColor="accent6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4B184" w:themeColor="accent2" w:sz="4" w:space="0"/>
          <w:right w:val="single" w:color="F4B184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4B184" w:themeColor="accent2" w:sz="4" w:space="0"/>
          <w:bottom w:val="single" w:color="F4B184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9C9C9" w:themeColor="accent3" w:sz="4" w:space="0"/>
          <w:right w:val="single" w:color="C9C9C9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9C9C9" w:themeColor="accent3" w:sz="4" w:space="0"/>
          <w:bottom w:val="single" w:color="C9C9C9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FD865" w:themeColor="accent4" w:sz="4" w:space="0"/>
          <w:right w:val="single" w:color="FFD865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FD865" w:themeColor="accent4" w:sz="4" w:space="0"/>
          <w:bottom w:val="single" w:color="FFD865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qFormat/>
    <w:tblPr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8DA9DB" w:themeColor="accent5" w:sz="4" w:space="0"/>
          <w:right w:val="single" w:color="8DA9DB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8DA9DB" w:themeColor="accent5" w:sz="4" w:space="0"/>
          <w:bottom w:val="single" w:color="8DA9DB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qFormat/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A9D08E" w:themeColor="accent6" w:sz="4" w:space="0"/>
          <w:right w:val="single" w:color="A9D08E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A9D08E" w:themeColor="accent6" w:sz="4" w:space="0"/>
          <w:bottom w:val="single" w:color="A9D08E" w:themeColor="accent6" w:sz="4" w:space="0"/>
        </w:tcBorders>
      </w:tcPr>
    </w:tblStylePr>
  </w:style>
  <w:style w:type="table" w:customStyle="1" w:styleId="-410">
    <w:name w:val="Список-таблица 41"/>
    <w:basedOn w:val="a1"/>
    <w:uiPriority w:val="99"/>
    <w:qFormat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qFormat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qFormat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qFormat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qFormat/>
    <w:tblPr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qFormat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qFormat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qFormat/>
    <w:tblPr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qFormat/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fill="5B9BD5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fill="5B9BD5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qFormat/>
    <w:tblPr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F4B184" w:themeColor="accent2" w:sz="32" w:space="0"/>
          <w:bottom w:val="single" w:color="FFFFFF" w:themeColor="light1" w:sz="12" w:space="0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4B184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4B184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qFormat/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C9C9C9" w:themeColor="accent3" w:sz="32" w:space="0"/>
          <w:bottom w:val="single" w:color="FFFFFF" w:themeColor="light1" w:sz="12" w:space="0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9C9C9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9C9C9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qFormat/>
    <w:tblPr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FFD865" w:themeColor="accent4" w:sz="32" w:space="0"/>
          <w:bottom w:val="single" w:color="FFFFFF" w:themeColor="light1" w:sz="12" w:space="0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FD865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FD865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qFormat/>
    <w:tblPr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8DA9DB" w:themeColor="accent5" w:sz="32" w:space="0"/>
          <w:bottom w:val="single" w:color="FFFFFF" w:themeColor="light1" w:sz="12" w:space="0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8DA9DB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8DA9DB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qFormat/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A9D08E" w:themeColor="accent6" w:sz="32" w:space="0"/>
          <w:bottom w:val="single" w:color="FFFFFF" w:themeColor="light1" w:sz="12" w:space="0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A9D08E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A9D08E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qFormat/>
    <w:tblPr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qFormat/>
    <w:tblPr>
      <w:tblBorders>
        <w:top w:val="single" w:color="5B9BD5" w:themeColor="accent1" w:sz="4" w:space="0"/>
        <w:bottom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C" w:themeColor="accent1" w:themeShade="94"/>
      </w:rPr>
      <w:tblPr/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A8C" w:themeColor="accent1" w:themeShade="94"/>
      </w:rPr>
      <w:tblPr/>
    </w:tblStylePr>
    <w:tblStylePr w:type="lastCol">
      <w:rPr>
        <w:b/>
        <w:color w:val="245A8C" w:themeColor="accent1" w:themeShade="94"/>
      </w:rPr>
      <w:tblPr/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C" w:themeColor="accent1" w:themeShade="94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C" w:themeColor="accent1" w:themeShade="94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qFormat/>
    <w:tblPr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color="F4B184" w:themeColor="accent2" w:sz="4" w:space="0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  <w:color w:val="F4B285" w:themeColor="accent2" w:themeTint="96"/>
      </w:rPr>
      <w:tblPr/>
    </w:tblStylePr>
    <w:tblStylePr w:type="lastCol">
      <w:rPr>
        <w:b/>
        <w:color w:val="F4B285" w:themeColor="accent2" w:themeTint="96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285" w:themeColor="accent2" w:themeTint="96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285" w:themeColor="accent2" w:themeTint="96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qFormat/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9"/>
      </w:rPr>
      <w:tblPr/>
      <w:tcPr>
        <w:tcBorders>
          <w:bottom w:val="single" w:color="C9C9C9" w:themeColor="accent3" w:sz="4" w:space="0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color="C9C9C9" w:themeColor="accent3" w:sz="4" w:space="0"/>
        </w:tcBorders>
      </w:tcPr>
    </w:tblStylePr>
    <w:tblStylePr w:type="firstCol">
      <w:rPr>
        <w:b/>
        <w:color w:val="C9C9C9" w:themeColor="accent3" w:themeTint="99"/>
      </w:rPr>
      <w:tblPr/>
    </w:tblStylePr>
    <w:tblStylePr w:type="lastCol">
      <w:rPr>
        <w:b/>
        <w:color w:val="C9C9C9" w:themeColor="accent3" w:themeTint="99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9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9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qFormat/>
    <w:tblPr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color="FFD865" w:themeColor="accent4" w:sz="4" w:space="0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  <w:color w:val="FFD966" w:themeColor="accent4" w:themeTint="99"/>
      </w:rPr>
      <w:tblPr/>
    </w:tblStylePr>
    <w:tblStylePr w:type="lastCol">
      <w:rPr>
        <w:b/>
        <w:color w:val="FFD966" w:themeColor="accent4" w:themeTint="99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966" w:themeColor="accent4" w:themeTint="99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966" w:themeColor="accent4" w:themeTint="99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qFormat/>
    <w:tblPr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EAADB" w:themeColor="accent5" w:themeTint="99"/>
      </w:rPr>
      <w:tblPr/>
      <w:tcPr>
        <w:tcBorders>
          <w:bottom w:val="single" w:color="8DA9DB" w:themeColor="accent5" w:sz="4" w:space="0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color="8DA9DB" w:themeColor="accent5" w:sz="4" w:space="0"/>
        </w:tcBorders>
      </w:tcPr>
    </w:tblStylePr>
    <w:tblStylePr w:type="firstCol">
      <w:rPr>
        <w:b/>
        <w:color w:val="8EAADB" w:themeColor="accent5" w:themeTint="99"/>
      </w:rPr>
      <w:tblPr/>
    </w:tblStylePr>
    <w:tblStylePr w:type="lastCol">
      <w:rPr>
        <w:b/>
        <w:color w:val="8EAADB" w:themeColor="accent5" w:themeTint="99"/>
      </w:rPr>
      <w:tblPr/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EAADB" w:themeColor="accent5" w:themeTint="99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EAADB" w:themeColor="accent5" w:themeTint="99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qFormat/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8D08D" w:themeColor="accent6" w:themeTint="99"/>
      </w:rPr>
      <w:tblPr/>
      <w:tcPr>
        <w:tcBorders>
          <w:bottom w:val="single" w:color="A9D08E" w:themeColor="accent6" w:sz="4" w:space="0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color="A9D08E" w:themeColor="accent6" w:sz="4" w:space="0"/>
        </w:tcBorders>
      </w:tcPr>
    </w:tblStylePr>
    <w:tblStylePr w:type="firstCol">
      <w:rPr>
        <w:b/>
        <w:color w:val="A8D08D" w:themeColor="accent6" w:themeTint="99"/>
      </w:rPr>
      <w:tblPr/>
    </w:tblStylePr>
    <w:tblStylePr w:type="lastCol">
      <w:rPr>
        <w:b/>
        <w:color w:val="A8D08D" w:themeColor="accent6" w:themeTint="99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8D08D" w:themeColor="accent6" w:themeTint="99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8D08D" w:themeColor="accent6" w:themeTint="99"/>
        <w:sz w:val="22"/>
      </w:rPr>
      <w:tblPr/>
    </w:tblStylePr>
  </w:style>
  <w:style w:type="table" w:customStyle="1" w:styleId="-710">
    <w:name w:val="Список-таблица 7 цветная1"/>
    <w:basedOn w:val="a1"/>
    <w:uiPriority w:val="99"/>
    <w:qFormat/>
    <w:tblPr>
      <w:tblBorders>
        <w:right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color="7F7F7F" w:themeColor="text1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/>
        <w:sz w:val="22"/>
      </w:rPr>
      <w:tblPr/>
      <w:tcPr>
        <w:tcBorders>
          <w:top w:val="single" w:color="7F7F7F" w:themeColor="tex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/>
        <w:sz w:val="22"/>
      </w:rPr>
      <w:tblPr/>
      <w:tcPr>
        <w:tcBorders>
          <w:top w:val="nil"/>
          <w:left w:val="single" w:color="7F7F7F" w:themeColor="text1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qFormat/>
    <w:tblPr>
      <w:tblBorders>
        <w:right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245A8C" w:themeColor="accent1" w:themeShade="94"/>
        <w:sz w:val="22"/>
      </w:rPr>
      <w:tblPr/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i/>
        <w:color w:val="245A8C" w:themeColor="accent1" w:themeShade="94"/>
        <w:sz w:val="22"/>
      </w:rPr>
      <w:tblPr/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C" w:themeColor="accent1" w:themeShade="94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C" w:themeColor="accent1" w:themeShade="94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qFormat/>
    <w:tblPr>
      <w:tblBorders>
        <w:right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color="F4B184" w:themeColor="accent2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F4B285" w:themeColor="accent2" w:themeTint="96"/>
        <w:sz w:val="22"/>
      </w:rPr>
      <w:tblPr/>
      <w:tcPr>
        <w:tcBorders>
          <w:top w:val="single" w:color="F4B184" w:themeColor="accent2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val="F4B285" w:themeColor="accent2" w:themeTint="96"/>
        <w:sz w:val="22"/>
      </w:rPr>
      <w:tblPr/>
      <w:tcPr>
        <w:tcBorders>
          <w:top w:val="nil"/>
          <w:left w:val="single" w:color="F4B184" w:themeColor="accent2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285" w:themeColor="accent2" w:themeTint="96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285" w:themeColor="accent2" w:themeTint="96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qFormat/>
    <w:tblPr>
      <w:tblBorders>
        <w:right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color="C9C9C9" w:themeColor="accent3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9"/>
        <w:sz w:val="22"/>
      </w:rPr>
      <w:tblPr/>
      <w:tcPr>
        <w:tcBorders>
          <w:top w:val="single" w:color="C9C9C9" w:themeColor="accent3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color="C9C9C9" w:themeColor="accent3" w:sz="4" w:space="0"/>
        </w:tcBorders>
        <w:shd w:val="clear" w:color="FFFFFF" w:fill="auto"/>
      </w:tcPr>
    </w:tblStylePr>
    <w:tblStylePr w:type="lastCol">
      <w:rPr>
        <w:i/>
        <w:color w:val="C9C9C9" w:themeColor="accent3" w:themeTint="99"/>
        <w:sz w:val="22"/>
      </w:rPr>
      <w:tblPr/>
      <w:tcPr>
        <w:tcBorders>
          <w:top w:val="nil"/>
          <w:left w:val="single" w:color="C9C9C9" w:themeColor="accent3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9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9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qFormat/>
    <w:tblPr>
      <w:tblBorders>
        <w:right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color="FFD865" w:themeColor="accent4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FFD966" w:themeColor="accent4" w:themeTint="99"/>
        <w:sz w:val="22"/>
      </w:rPr>
      <w:tblPr/>
      <w:tcPr>
        <w:tcBorders>
          <w:top w:val="single" w:color="FFD865" w:themeColor="accent4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val="FFD966" w:themeColor="accent4" w:themeTint="99"/>
        <w:sz w:val="22"/>
      </w:rPr>
      <w:tblPr/>
      <w:tcPr>
        <w:tcBorders>
          <w:top w:val="nil"/>
          <w:left w:val="single" w:color="FFD865" w:themeColor="accent4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966" w:themeColor="accent4" w:themeTint="99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966" w:themeColor="accent4" w:themeTint="99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color="8DA9DB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color="8DA9DB" w:themeColor="accent5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8EAADB" w:themeColor="accent5" w:themeTint="99"/>
        <w:sz w:val="22"/>
      </w:rPr>
      <w:tblPr/>
      <w:tcPr>
        <w:tcBorders>
          <w:top w:val="single" w:color="8DA9DB" w:themeColor="accent5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color="8DA9DB" w:themeColor="accent5" w:sz="4" w:space="0"/>
        </w:tcBorders>
        <w:shd w:val="clear" w:color="FFFFFF" w:fill="auto"/>
      </w:tcPr>
    </w:tblStylePr>
    <w:tblStylePr w:type="lastCol">
      <w:rPr>
        <w:i/>
        <w:color w:val="8EAADB" w:themeColor="accent5" w:themeTint="99"/>
        <w:sz w:val="22"/>
      </w:rPr>
      <w:tblPr/>
      <w:tcPr>
        <w:tcBorders>
          <w:top w:val="nil"/>
          <w:left w:val="single" w:color="8DA9DB" w:themeColor="accent5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EAADB" w:themeColor="accent5" w:themeTint="99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EAADB" w:themeColor="accent5" w:themeTint="99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qFormat/>
    <w:tblPr>
      <w:tblBorders>
        <w:right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color="A9D08E" w:themeColor="accent6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A8D08D" w:themeColor="accent6" w:themeTint="99"/>
        <w:sz w:val="22"/>
      </w:rPr>
      <w:tblPr/>
      <w:tcPr>
        <w:tcBorders>
          <w:top w:val="single" w:color="A9D08E" w:themeColor="accent6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color="A9D08E" w:themeColor="accent6" w:sz="4" w:space="0"/>
        </w:tcBorders>
        <w:shd w:val="clear" w:color="FFFFFF" w:fill="auto"/>
      </w:tcPr>
    </w:tblStylePr>
    <w:tblStylePr w:type="lastCol">
      <w:rPr>
        <w:i/>
        <w:color w:val="A8D08D" w:themeColor="accent6" w:themeTint="99"/>
        <w:sz w:val="22"/>
      </w:rPr>
      <w:tblPr/>
      <w:tcPr>
        <w:tcBorders>
          <w:top w:val="nil"/>
          <w:left w:val="single" w:color="A9D08E" w:themeColor="accent6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8D08D" w:themeColor="accent6" w:themeTint="99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8D08D" w:themeColor="accent6" w:themeTint="99"/>
        <w:sz w:val="22"/>
      </w:rPr>
      <w:tblPr/>
    </w:tblStylePr>
  </w:style>
  <w:style w:type="table" w:customStyle="1" w:styleId="Lined-Accent">
    <w:name w:val="Lined - Accent"/>
    <w:basedOn w:val="a1"/>
    <w:uiPriority w:val="99"/>
    <w:qFormat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qFormat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qFormat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qFormat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qFormat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qFormat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qFormat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qFormat/>
    <w:rPr>
      <w:color w:val="404040"/>
    </w:rPr>
    <w:tblPr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qFormat/>
    <w:rPr>
      <w:color w:val="404040"/>
    </w:rPr>
    <w:tblPr>
      <w:tblBorders>
        <w:top w:val="single" w:color="245A8D" w:themeColor="accent1" w:sz="4" w:space="0"/>
        <w:left w:val="single" w:color="245A8D" w:themeColor="accent1" w:sz="4" w:space="0"/>
        <w:bottom w:val="single" w:color="245A8D" w:themeColor="accent1" w:sz="4" w:space="0"/>
        <w:right w:val="single" w:color="245A8D" w:themeColor="accent1" w:sz="4" w:space="0"/>
        <w:insideH w:val="single" w:color="245A8D" w:themeColor="accent1" w:sz="4" w:space="0"/>
        <w:insideV w:val="single" w:color="245A8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qFormat/>
    <w:rPr>
      <w:color w:val="404040"/>
    </w:rPr>
    <w:tblPr>
      <w:tblBorders>
        <w:top w:val="single" w:color="99460D" w:themeColor="accent2" w:sz="4" w:space="0"/>
        <w:left w:val="single" w:color="99460D" w:themeColor="accent2" w:sz="4" w:space="0"/>
        <w:bottom w:val="single" w:color="99460D" w:themeColor="accent2" w:sz="4" w:space="0"/>
        <w:right w:val="single" w:color="99460D" w:themeColor="accent2" w:sz="4" w:space="0"/>
        <w:insideH w:val="single" w:color="99460D" w:themeColor="accent2" w:sz="4" w:space="0"/>
        <w:insideV w:val="single" w:color="99460D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color="606060" w:themeColor="accent3" w:sz="4" w:space="0"/>
        <w:left w:val="single" w:color="606060" w:themeColor="accent3" w:sz="4" w:space="0"/>
        <w:bottom w:val="single" w:color="606060" w:themeColor="accent3" w:sz="4" w:space="0"/>
        <w:right w:val="single" w:color="606060" w:themeColor="accent3" w:sz="4" w:space="0"/>
        <w:insideH w:val="single" w:color="606060" w:themeColor="accent3" w:sz="4" w:space="0"/>
        <w:insideV w:val="single" w:color="606060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qFormat/>
    <w:rPr>
      <w:color w:val="404040"/>
    </w:rPr>
    <w:tblPr>
      <w:tblBorders>
        <w:top w:val="single" w:color="957000" w:themeColor="accent4" w:sz="4" w:space="0"/>
        <w:left w:val="single" w:color="957000" w:themeColor="accent4" w:sz="4" w:space="0"/>
        <w:bottom w:val="single" w:color="957000" w:themeColor="accent4" w:sz="4" w:space="0"/>
        <w:right w:val="single" w:color="957000" w:themeColor="accent4" w:sz="4" w:space="0"/>
        <w:insideH w:val="single" w:color="957000" w:themeColor="accent4" w:sz="4" w:space="0"/>
        <w:insideV w:val="single" w:color="957000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color="254175" w:themeColor="accent5" w:sz="4" w:space="0"/>
        <w:left w:val="single" w:color="254175" w:themeColor="accent5" w:sz="4" w:space="0"/>
        <w:bottom w:val="single" w:color="254175" w:themeColor="accent5" w:sz="4" w:space="0"/>
        <w:right w:val="single" w:color="254175" w:themeColor="accent5" w:sz="4" w:space="0"/>
        <w:insideH w:val="single" w:color="254175" w:themeColor="accent5" w:sz="4" w:space="0"/>
        <w:insideV w:val="single" w:color="254175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color="416429" w:themeColor="accent6" w:sz="4" w:space="0"/>
        <w:left w:val="single" w:color="416429" w:themeColor="accent6" w:sz="4" w:space="0"/>
        <w:bottom w:val="single" w:color="416429" w:themeColor="accent6" w:sz="4" w:space="0"/>
        <w:right w:val="single" w:color="416429" w:themeColor="accent6" w:sz="4" w:space="0"/>
        <w:insideH w:val="single" w:color="416429" w:themeColor="accent6" w:sz="4" w:space="0"/>
        <w:insideV w:val="single" w:color="416429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qFormat/>
    <w:tblPr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qFormat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5B9BD5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5B9BD5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5B9BD5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CD6EE" w:themeColor="accent1" w:sz="4" w:space="0"/>
          <w:left w:val="single" w:color="BCD6EE" w:themeColor="accent1" w:sz="4" w:space="0"/>
          <w:bottom w:val="single" w:color="BCD6EE" w:themeColor="accent1" w:sz="4" w:space="0"/>
          <w:right w:val="single" w:color="BCD6EE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qFormat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4B184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4B184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qFormat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C9C9C9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9C9C9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9C9C9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qFormat/>
    <w:tblPr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FD865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FD865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8DA9DB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8DA9DB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8DA9DB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3C5E7" w:themeColor="accent5" w:sz="4" w:space="0"/>
          <w:left w:val="single" w:color="B3C5E7" w:themeColor="accent5" w:sz="4" w:space="0"/>
          <w:bottom w:val="single" w:color="B3C5E7" w:themeColor="accent5" w:sz="4" w:space="0"/>
          <w:right w:val="single" w:color="B3C5E7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qFormat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A9D08E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A9D08E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A9D08E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5218</TotalTime>
  <Application>LibreOffice/7.5.6.2$Linux_X86_64 LibreOffice_project/50$Build-2</Application>
  <AppVersion>15.0000</AppVersion>
  <Pages>10</Pages>
  <Words>1621</Words>
  <Characters>10467</Characters>
  <CharactersWithSpaces>11772</CharactersWithSpaces>
  <Paragraphs>533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2024-10-08T10:14:00Z</dcterms:created>
  <dc:creator>LEnovo</dc:creator>
  <dc:description/>
  <dc:language>ru-RU</dc:language>
  <cp:lastModifiedBy/>
  <cp:lastPrinted>2025-06-19T13:24:40Z</cp:lastPrinted>
  <dcterms:modified xsi:type="dcterms:W3CDTF">2025-06-19T13:21:03Z</dcterms:modified>
  <cp:revision>272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91BFF918600043AF9A489FF17D178D42_12</vt:lpwstr>
  </property>
  <property fmtid="{D5CDD505-2E9C-101B-9397-08002B2CF9AE}" pid="3" name="KSOProductBuildVer">
    <vt:lpwstr>1049-12.2.0.18283</vt:lpwstr>
  </property>
</Properties>
</file>