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  <w:r>
              <w:rPr>
                <w:rStyle w:val="1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             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06 июня 2025 года по 16 июня 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913141318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b452a9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Application>LibreOffice/7.5.6.2$Linux_X86_64 LibreOffice_project/50$Build-2</Application>
  <AppVersion>15.0000</AppVersion>
  <Pages>1</Pages>
  <Words>270</Words>
  <Characters>1931</Characters>
  <CharactersWithSpaces>2196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2025-06-05T10:13:00Z</cp:lastPrinted>
  <dcterms:modified xsi:type="dcterms:W3CDTF">2025-06-19T13:33:46Z</dcterms:modified>
  <cp:revision>31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