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214" w:leader="none"/>
        </w:tabs>
        <w:spacing w:lineRule="auto" w:line="240" w:before="0" w:after="0"/>
        <w:ind w:left="0" w:right="0" w:hanging="0"/>
        <w:contextualSpacing w:val="false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  <w:bookmarkStart w:id="0" w:name="undefined"/>
      <w:bookmarkStart w:id="1" w:name="undefined"/>
      <w:bookmarkEnd w:id="1"/>
    </w:p>
    <w:tbl>
      <w:tblPr>
        <w:tblStyle w:val="a3"/>
        <w:tblW w:w="962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628"/>
      </w:tblGrid>
      <w:tr>
        <w:trPr>
          <w:trHeight w:val="3990" w:hRule="atLeast"/>
        </w:trPr>
        <w:tc>
          <w:tcPr>
            <w:tcW w:w="962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/>
              <w:drawing>
                <wp:inline distT="0" distB="0" distL="0" distR="0">
                  <wp:extent cx="500380" cy="612140"/>
                  <wp:effectExtent l="0" t="0" r="0" b="0"/>
                  <wp:docPr id="1" name="Рисунок 1" descr="Герб пос Красногвардейское_контур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 пос Красногвардейское_контур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20"/>
                <w:szCs w:val="20"/>
                <w:lang w:val="ru-RU" w:eastAsia="en-US" w:bidi="ar-SA"/>
              </w:rPr>
              <w:t>КРАСНОГВАРДЕЙСКИЙ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b/>
                <w:kern w:val="0"/>
                <w:sz w:val="12"/>
                <w:szCs w:val="1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2"/>
                <w:szCs w:val="1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32"/>
                <w:szCs w:val="32"/>
                <w:lang w:val="ru-RU" w:eastAsia="en-US" w:bidi="ar-SA"/>
              </w:rPr>
              <w:t xml:space="preserve">АДМИНИСТРАЦИЯ </w:t>
              <w:br/>
              <w:t xml:space="preserve">        КРАСНОГВАРДЕЙСКОГО РАЙОНА</w:t>
              <w:br/>
              <w:t xml:space="preserve">        БЕЛГОРОДСКОЙ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b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32"/>
                <w:szCs w:val="32"/>
                <w:lang w:val="ru-RU" w:eastAsia="en-US" w:bidi="ar-SA"/>
              </w:rPr>
              <w:t>ПОСТАНОВЛЕНИЕ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17"/>
                <w:szCs w:val="17"/>
                <w:lang w:val="ru-RU" w:eastAsia="en-US" w:bidi="ar-SA"/>
              </w:rPr>
              <w:t>Бирюч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 w:val="false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18"/>
                <w:szCs w:val="18"/>
                <w:lang w:val="ru-RU" w:eastAsia="en-US" w:bidi="ar-SA"/>
              </w:rPr>
              <w:t>«_____» _________________ 20_____ г.                                                                                      №_________</w:t>
              <w:br/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57" w:hanging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</w:p>
        </w:tc>
        <w:tc>
          <w:tcPr>
            <w:tcW w:w="4819" w:type="dxa"/>
            <w:tcBorders/>
          </w:tcPr>
          <w:p>
            <w:pPr>
              <w:pStyle w:val="Style28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center"/>
        <w:rPr>
          <w:szCs w:val="28"/>
          <w:lang w:val="ru-RU"/>
        </w:rPr>
      </w:pPr>
      <w:r>
        <w:rPr>
          <w:szCs w:val="28"/>
          <w:lang w:val="ru-RU"/>
        </w:rPr>
      </w:r>
    </w:p>
    <w:p>
      <w:pPr>
        <w:pStyle w:val="Normal"/>
        <w:tabs>
          <w:tab w:val="clear" w:pos="708"/>
          <w:tab w:val="left" w:pos="7410" w:leader="none"/>
        </w:tabs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410" w:leader="none"/>
        </w:tabs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675" w:leader="none"/>
        </w:tabs>
        <w:suppressAutoHyphens w:val="true"/>
        <w:bidi w:val="0"/>
        <w:spacing w:lineRule="atLeast" w:line="0" w:before="0" w:after="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8"/>
          <w:szCs w:val="28"/>
          <w:lang w:eastAsia="ru-RU"/>
        </w:rPr>
        <w:t xml:space="preserve">Во исполнение решения двадцатого заседания Муниципального совета района «Красногвардейский район» Белгородской области от 25 декабря                      2024 года № 5 «О районом бюджете на 2025 год и плановый период 2026 и                   2027 годов», в целях актуализации муниципальной программы «Формирование современной городской среды на территории Красногвардейского района» администрация района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>п о с т а н о в л я е т</w:t>
      </w: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 xml:space="preserve">Внести в постановление администрации района от 24 декабря 2024 года        </w:t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155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 следующие изменения: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муниципальную программу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», утвержденную в пункте 1 постановления,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>2. Контроль за исполнением настоящего постановления возложить на начальника управления строительства и ЖКХ администрации Красногвардейского района Лобачева Р.Н.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5"/>
        <w:gridCol w:w="4762"/>
      </w:tblGrid>
      <w:tr>
        <w:trPr/>
        <w:tc>
          <w:tcPr>
            <w:tcW w:w="4875" w:type="dxa"/>
            <w:tcBorders/>
          </w:tcPr>
          <w:p>
            <w:pPr>
              <w:pStyle w:val="Style28"/>
              <w:widowControl w:val="false"/>
              <w:suppressLineNumbers/>
              <w:tabs>
                <w:tab w:val="clear" w:pos="708"/>
                <w:tab w:val="left" w:pos="4588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Глава администрации Красногвардейского района</w:t>
            </w:r>
          </w:p>
        </w:tc>
        <w:tc>
          <w:tcPr>
            <w:tcW w:w="4762" w:type="dxa"/>
            <w:tcBorders/>
          </w:tcPr>
          <w:p>
            <w:pPr>
              <w:pStyle w:val="Style28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Style28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Г.И. Руденко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701" w:right="567" w:gutter="0" w:header="1134" w:top="1559" w:footer="0" w:bottom="1134"/>
          <w:pgNumType w:fmt="decimal"/>
          <w:formProt w:val="false"/>
          <w:titlePg/>
          <w:textDirection w:val="lrTb"/>
          <w:docGrid w:type="default" w:linePitch="360" w:charSpace="0"/>
        </w:sectPr>
      </w:pPr>
      <w:r>
        <w:br w:type="page"/>
      </w:r>
    </w:p>
    <w:tbl>
      <w:tblPr>
        <w:tblStyle w:val="af4"/>
        <w:tblW w:w="145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8838"/>
        <w:gridCol w:w="5736"/>
      </w:tblGrid>
      <w:tr>
        <w:trPr/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7937" w:right="0" w:firstLine="680"/>
              <w:contextualSpacing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риложение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к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постановлени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ю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администрации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Красногвардейского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от «____» ____________ 20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25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года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_______</w:t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right"/>
        <w:rPr/>
      </w:pPr>
      <w:r>
        <w:rPr/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II. Паспорт муниципальной программы Красногвардейского района</w:t>
      </w:r>
    </w:p>
    <w:p>
      <w:pPr>
        <w:pStyle w:val="ConsPlusNormal"/>
        <w:jc w:val="center"/>
        <w:rPr>
          <w:rFonts w:ascii="Times New Roman" w:hAnsi="Times New Roman"/>
        </w:rPr>
      </w:pPr>
      <w:r>
        <w:rPr>
          <w:rFonts w:cs="Tinos"/>
          <w:b/>
          <w:lang w:val="ru-RU"/>
        </w:rPr>
        <w:t>«Формирование современной городской среды на территории Красногвардейского района»</w:t>
      </w:r>
    </w:p>
    <w:p>
      <w:pPr>
        <w:pStyle w:val="ConsPlusNormal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spacing w:lineRule="exact" w:line="24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297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5613"/>
        <w:gridCol w:w="5761"/>
        <w:gridCol w:w="2923"/>
      </w:tblGrid>
      <w:tr>
        <w:trPr>
          <w:trHeight w:val="569" w:hRule="atLeast"/>
        </w:trPr>
        <w:tc>
          <w:tcPr>
            <w:tcW w:w="5613" w:type="dxa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/>
          </w:tcPr>
          <w:p>
            <w:pPr>
              <w:pStyle w:val="Normal"/>
              <w:widowControl w:val="false"/>
              <w:shd w:val="clear" w:color="FFFFFF" w:themeColor="background1" w:fill="FFFFFF" w:themeFill="background1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2025-2030 годы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Цели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Style22"/>
              <w:widowControl w:val="false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Повышение к 2030 году качества городской среды территории муниципального образования к уровню 2019 года на 30 процентов</w:t>
            </w:r>
          </w:p>
        </w:tc>
      </w:tr>
      <w:tr>
        <w:trPr>
          <w:trHeight w:val="632" w:hRule="atLeast"/>
        </w:trPr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Направления (подпрограммы) не выделяются</w:t>
            </w:r>
          </w:p>
        </w:tc>
      </w:tr>
      <w:tr>
        <w:trPr/>
        <w:tc>
          <w:tcPr>
            <w:tcW w:w="5613" w:type="dxa"/>
            <w:vMerge w:val="restart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right w:val="nil"/>
            </w:tcBorders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23" w:type="dxa"/>
            <w:tcBorders/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Объемы финансового обеспечения, тыс. рублей</w:t>
            </w:r>
          </w:p>
        </w:tc>
      </w:tr>
      <w:tr>
        <w:trPr/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бюджет (всего), из них: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797512,681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федерального бюджета (справочно)  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441943,000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областного бюджета (справочно)  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173625,030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180245,178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2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1700,000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684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1. Национальная цель «Комфортная и безопасная среда для жизни»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«Благоустройство не менее 30 тыс. общественных территорий и реализации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2. Государственная программа 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>
        <w:trPr/>
        <w:tc>
          <w:tcPr>
            <w:tcW w:w="5613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8684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 («Развитие городских агломераций»).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 Приоритет «Сбалансированное пространственное развитие».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2.1. Показатель «Прирост среднего индекса качества городской среды по отношению к 2019 году на 30 процентов».</w:t>
            </w:r>
          </w:p>
        </w:tc>
      </w:tr>
      <w:tr>
        <w:trPr/>
        <w:tc>
          <w:tcPr>
            <w:tcW w:w="5613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b/>
                <w:sz w:val="26"/>
              </w:rPr>
            </w:pPr>
            <w:r>
              <w:rPr>
                <w:rFonts w:cs="Tinos" w:ascii="Times New Roman" w:hAnsi="Times New Roman"/>
                <w:b/>
                <w:sz w:val="26"/>
              </w:rPr>
            </w:r>
          </w:p>
        </w:tc>
        <w:tc>
          <w:tcPr>
            <w:tcW w:w="8684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3. Стратегическая цель Красногвардейского района «Повышение уровня благоустройства качества и комфорта дворовых, общественных и иных территорий Красногвардейского района».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cs="Tinos"/>
        </w:rPr>
      </w:pPr>
      <w:r>
        <w:rPr>
          <w:rFonts w:cs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2. Показатели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974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425"/>
        <w:gridCol w:w="2080"/>
        <w:gridCol w:w="882"/>
        <w:gridCol w:w="811"/>
        <w:gridCol w:w="870"/>
        <w:gridCol w:w="722"/>
        <w:gridCol w:w="644"/>
        <w:gridCol w:w="691"/>
        <w:gridCol w:w="719"/>
        <w:gridCol w:w="691"/>
        <w:gridCol w:w="644"/>
        <w:gridCol w:w="659"/>
        <w:gridCol w:w="536"/>
        <w:gridCol w:w="1389"/>
        <w:gridCol w:w="1125"/>
        <w:gridCol w:w="1135"/>
        <w:gridCol w:w="1340"/>
      </w:tblGrid>
      <w:tr>
        <w:trPr/>
        <w:tc>
          <w:tcPr>
            <w:tcW w:w="4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п/п</w:t>
            </w:r>
          </w:p>
        </w:tc>
        <w:tc>
          <w:tcPr>
            <w:tcW w:w="208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Уровень показателя</w:t>
            </w:r>
          </w:p>
        </w:tc>
        <w:tc>
          <w:tcPr>
            <w:tcW w:w="811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Признак возраста 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убыва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ния</w:t>
            </w:r>
          </w:p>
        </w:tc>
        <w:tc>
          <w:tcPr>
            <w:tcW w:w="87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Единица измерения (по ОКЕИ)</w:t>
            </w:r>
          </w:p>
        </w:tc>
        <w:tc>
          <w:tcPr>
            <w:tcW w:w="1366" w:type="dxa"/>
            <w:gridSpan w:val="2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Базовое значение</w:t>
            </w:r>
          </w:p>
        </w:tc>
        <w:tc>
          <w:tcPr>
            <w:tcW w:w="3940" w:type="dxa"/>
            <w:gridSpan w:val="6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Значения показателя по годам</w:t>
            </w:r>
          </w:p>
        </w:tc>
        <w:tc>
          <w:tcPr>
            <w:tcW w:w="138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Документ</w:t>
            </w:r>
          </w:p>
        </w:tc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за достижение показателя</w:t>
            </w:r>
          </w:p>
        </w:tc>
        <w:tc>
          <w:tcPr>
            <w:tcW w:w="113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 с показателями национальных целей</w:t>
            </w:r>
          </w:p>
        </w:tc>
        <w:tc>
          <w:tcPr>
            <w:tcW w:w="13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 показателями государственной программы Белгородской области</w:t>
            </w:r>
          </w:p>
        </w:tc>
      </w:tr>
      <w:tr>
        <w:trPr/>
        <w:tc>
          <w:tcPr>
            <w:tcW w:w="4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208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8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11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7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72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значение</w:t>
            </w:r>
          </w:p>
        </w:tc>
        <w:tc>
          <w:tcPr>
            <w:tcW w:w="644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год</w:t>
            </w:r>
          </w:p>
        </w:tc>
        <w:tc>
          <w:tcPr>
            <w:tcW w:w="69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szCs w:val="15"/>
                <w:lang w:val="ru-RU" w:bidi="ar-SA"/>
              </w:rPr>
              <w:t>2025</w:t>
            </w:r>
          </w:p>
        </w:tc>
        <w:tc>
          <w:tcPr>
            <w:tcW w:w="71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2027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2028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2029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2030</w:t>
            </w:r>
          </w:p>
        </w:tc>
        <w:tc>
          <w:tcPr>
            <w:tcW w:w="138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3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340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2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3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4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5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7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8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9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11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13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14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15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16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17</w:t>
            </w:r>
          </w:p>
        </w:tc>
      </w:tr>
      <w:tr>
        <w:trPr>
          <w:trHeight w:val="197" w:hRule="atLeast"/>
        </w:trPr>
        <w:tc>
          <w:tcPr>
            <w:tcW w:w="15363" w:type="dxa"/>
            <w:gridSpan w:val="17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Цель «Повышение к 2030 году качества городской среды территорий муниципальных образований на территории Красногвардейского района уровню 2019 года на 30 процентов»</w:t>
            </w:r>
          </w:p>
        </w:tc>
      </w:tr>
      <w:tr>
        <w:trPr>
          <w:trHeight w:val="1919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  <w:br/>
              <w:t xml:space="preserve">по отношению </w:t>
              <w:br/>
              <w:t>к 2019 году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ВДЛ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2023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1,5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2,5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3,5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  <w:br/>
              <w:t xml:space="preserve">от 30.12.2017 г.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8"/>
                <w:szCs w:val="18"/>
                <w:lang w:val="ru-RU" w:bidi="ar-SA"/>
              </w:rPr>
              <w:t>№ 1710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  <w:br/>
              <w:t>по благоустройству территорий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2023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Российской Федерации </w:t>
              <w:br/>
              <w:t>от 30.12.2017 г. № 1710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>
          <w:trHeight w:val="1303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Количество светоточек </w:t>
              <w:br/>
              <w:t>на территории населенных пунктов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Доля компенсационных расходов  на предоставление государственных гарантий  от фактически предоставленных услуг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2023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Федеральный закон </w:t>
              <w:br/>
              <w:t>от 12.01.1996 г.</w:t>
              <w:br/>
              <w:t>№ 8-ФЗ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shd w:fill="auto" w:val="clear"/>
                <w:lang w:val="ru-RU" w:bidi="ar-SA"/>
              </w:rPr>
              <w:t>«О погребении и похоронном деле»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 xml:space="preserve">Количество реализованных проектов </w:t>
              <w:br/>
              <w:t>для повышения уровня жизни граждан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в муниципальном образовании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2023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Закон Белгородской области </w:t>
              <w:br/>
              <w:t xml:space="preserve">от 26.12.2020 г. № 20 </w:t>
              <w:br/>
              <w:t xml:space="preserve">«Об инициативных проектах», постановление Правительства Белгородской области </w:t>
              <w:br/>
              <w:t xml:space="preserve">от 28.12.2020 г. </w:t>
              <w:br/>
              <w:t>№ 598-пп</w:t>
              <w:br/>
              <w:t xml:space="preserve">«О реализации инициативных проектов </w:t>
              <w:br/>
              <w:t>на территории Белгородской области»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Количество благоустроенных территорий различного функционального назначения Красногвардейского района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2023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  <w:sz w:val="28"/>
        </w:rPr>
        <w:t xml:space="preserve"> </w:t>
      </w:r>
      <w:r>
        <w:rPr>
          <w:rFonts w:cs="Tinos" w:ascii="Times New Roman" w:hAnsi="Times New Roman"/>
          <w:b/>
          <w:sz w:val="28"/>
          <w:highlight w:val="white"/>
        </w:rPr>
        <w:t>3. Помесячный план достижения показателей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/>
      </w:pPr>
      <w:r>
        <w:rPr>
          <w:rFonts w:cs="Tinos" w:ascii="Times New Roman" w:hAnsi="Times New Roman"/>
          <w:b/>
          <w:sz w:val="28"/>
          <w:highlight w:val="white"/>
        </w:rPr>
        <w:t xml:space="preserve">(комплексной программы) в 2025 году 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highlight w:val="white"/>
        </w:rPr>
      </w:pPr>
      <w:r>
        <w:rPr>
          <w:rFonts w:cs="Tinos" w:ascii="Times New Roman" w:hAnsi="Times New Roman"/>
          <w:highlight w:val="white"/>
        </w:rPr>
      </w:r>
    </w:p>
    <w:tbl>
      <w:tblPr>
        <w:tblStyle w:val="af4"/>
        <w:tblW w:w="14250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702"/>
        <w:gridCol w:w="2149"/>
        <w:gridCol w:w="1395"/>
        <w:gridCol w:w="896"/>
        <w:gridCol w:w="738"/>
        <w:gridCol w:w="726"/>
        <w:gridCol w:w="778"/>
        <w:gridCol w:w="708"/>
        <w:gridCol w:w="676"/>
        <w:gridCol w:w="865"/>
        <w:gridCol w:w="842"/>
        <w:gridCol w:w="685"/>
        <w:gridCol w:w="707"/>
        <w:gridCol w:w="711"/>
        <w:gridCol w:w="720"/>
        <w:gridCol w:w="948"/>
      </w:tblGrid>
      <w:tr>
        <w:trPr/>
        <w:tc>
          <w:tcPr>
            <w:tcW w:w="70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п/п</w:t>
            </w:r>
          </w:p>
        </w:tc>
        <w:tc>
          <w:tcPr>
            <w:tcW w:w="214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Наименование показателя</w:t>
            </w:r>
          </w:p>
        </w:tc>
        <w:tc>
          <w:tcPr>
            <w:tcW w:w="139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Уровень показателя</w:t>
            </w:r>
          </w:p>
        </w:tc>
        <w:tc>
          <w:tcPr>
            <w:tcW w:w="896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Ед. изм.</w:t>
            </w:r>
          </w:p>
        </w:tc>
        <w:tc>
          <w:tcPr>
            <w:tcW w:w="8156" w:type="dxa"/>
            <w:gridSpan w:val="11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Плановые значения по кварталам/месяцам **</w:t>
            </w:r>
          </w:p>
        </w:tc>
        <w:tc>
          <w:tcPr>
            <w:tcW w:w="9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 конец 2025 года</w:t>
            </w:r>
          </w:p>
        </w:tc>
      </w:tr>
      <w:tr>
        <w:trPr/>
        <w:tc>
          <w:tcPr>
            <w:tcW w:w="70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14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39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896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3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Я</w:t>
            </w:r>
          </w:p>
        </w:tc>
        <w:tc>
          <w:tcPr>
            <w:tcW w:w="726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Ф</w:t>
            </w:r>
          </w:p>
        </w:tc>
        <w:tc>
          <w:tcPr>
            <w:tcW w:w="77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676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</w:p>
        </w:tc>
        <w:tc>
          <w:tcPr>
            <w:tcW w:w="86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842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ИЛ</w:t>
            </w:r>
          </w:p>
        </w:tc>
        <w:tc>
          <w:tcPr>
            <w:tcW w:w="68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70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11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О</w:t>
            </w:r>
          </w:p>
        </w:tc>
        <w:tc>
          <w:tcPr>
            <w:tcW w:w="720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</w:t>
            </w:r>
          </w:p>
        </w:tc>
        <w:tc>
          <w:tcPr>
            <w:tcW w:w="948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2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13544" w:type="dxa"/>
            <w:gridSpan w:val="15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Цель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 xml:space="preserve"> «</w:t>
            </w: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Повышение уровня благоустройства, качества и комфорта дворовых, общественных и иных территорий Красногвардейского района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>»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 Количество благоустроенных дворовых </w:t>
              <w:br/>
              <w:t xml:space="preserve">и общественных территорий различного функционального назначения,  включенных </w:t>
              <w:br/>
              <w:t>в муниципальную программу  (ежегодно, накопительным итогом)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Еди-ница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2. Количество благоустроенных дворовых территорий, включенных </w:t>
              <w:br/>
              <w:t xml:space="preserve">в муниципальную программу (ежегодно, накопительным итогом)  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3.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с трудовым участием граждан, заинтересованных организаций от общего количества дворовых </w:t>
              <w:br/>
              <w:t>и общественных территорий, благоустроенных  в ходе реализации муниципальной программы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4. Доля граждан, принявших участие </w:t>
              <w:br/>
              <w:t xml:space="preserve">в решении вопросов развития городской среды от общего  количества граждан в возрасте от 14 лет,  проживающих </w:t>
              <w:br/>
              <w:t xml:space="preserve">в муниципальных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на территории которых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реализуются проекты по созданию  комфортной городской среды 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58,4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58,4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5. Количество реализованных проектов по благоустройству мест массового отдыха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4246" w:type="dxa"/>
            <w:gridSpan w:val="16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1.1.1.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highlight w:val="white"/>
                <w:lang w:val="ru-RU" w:bidi="ar-SA"/>
              </w:rPr>
              <w:t>Региональный проект</w:t>
            </w: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highlight w:val="white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«Формирование комфортной городской среды»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с трудовым участием граждан, заинтересованных организаций от общего количества дворовых </w:t>
              <w:br/>
              <w:t xml:space="preserve">и общественных территорий, благоустроенных в ходе реализации муниципальной программы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2. Доля граждан, принявших участие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решении вопросов развития городской среды от общего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количества граждан </w:t>
              <w:br/>
              <w:t xml:space="preserve">в возрасте от 14 лет, проживающих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муниципальных 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на территории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которых реализуются проекты по созданию комфортной городской среды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4162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4162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3. Количество муниципальных программ, включающих мероприятия </w:t>
              <w:br/>
              <w:t>по благоустройству дворовых территорий многоквартирных домов, общественных  и иных территорий соответствующего функционального назначения населенных пунктов поселений Красногвардейского района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4. Количество благоустроенных дворовых </w:t>
              <w:br/>
              <w:t xml:space="preserve">и общественных территорий различного функционального назначения включенных </w:t>
              <w:br/>
              <w:t xml:space="preserve">в муниципальную программу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5. Количество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общественных территорий, включенных в муниципальную программу (ежегодно, накопительным итогом)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2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0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5. Финансовое обеспечение муниципальной программы </w:t>
      </w:r>
      <w:r>
        <w:rPr>
          <w:rFonts w:cs="Tinos" w:ascii="Times New Roman" w:hAnsi="Times New Roman"/>
          <w:b/>
          <w:sz w:val="26"/>
        </w:rPr>
        <w:t>«</w:t>
      </w:r>
      <w:r>
        <w:rPr>
          <w:rFonts w:cs="Tinos" w:ascii="Times New Roman" w:hAnsi="Times New Roman"/>
          <w:b/>
          <w:sz w:val="28"/>
        </w:rPr>
        <w:t>Формирование современной городской среды на территории Красногвардейского района</w:t>
      </w:r>
      <w:r>
        <w:rPr>
          <w:rFonts w:cs="Tinos" w:ascii="Times New Roman" w:hAnsi="Times New Roman"/>
          <w:b/>
          <w:sz w:val="26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7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99"/>
        <w:gridCol w:w="1"/>
        <w:gridCol w:w="1589"/>
        <w:gridCol w:w="625"/>
        <w:gridCol w:w="849"/>
        <w:gridCol w:w="738"/>
        <w:gridCol w:w="737"/>
        <w:gridCol w:w="796"/>
        <w:gridCol w:w="1"/>
        <w:gridCol w:w="790"/>
        <w:gridCol w:w="858"/>
        <w:gridCol w:w="3"/>
        <w:gridCol w:w="737"/>
        <w:gridCol w:w="2"/>
        <w:gridCol w:w="1911"/>
      </w:tblGrid>
      <w:tr>
        <w:trPr/>
        <w:tc>
          <w:tcPr>
            <w:tcW w:w="5100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Наименование муниципальной программы(комплексной программы),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структурного элемента, источник финансового обеспечения</w:t>
            </w:r>
          </w:p>
        </w:tc>
        <w:tc>
          <w:tcPr>
            <w:tcW w:w="158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Код бюджетной классифика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ции</w:t>
            </w:r>
          </w:p>
        </w:tc>
        <w:tc>
          <w:tcPr>
            <w:tcW w:w="8047" w:type="dxa"/>
            <w:gridSpan w:val="1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0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2023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2024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2025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2026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2027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2028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2029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2030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11</w:t>
            </w:r>
          </w:p>
        </w:tc>
      </w:tr>
      <w:tr>
        <w:trPr/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Муниципальная программа «Формирование современной городской среды на территории Красногвардейского района», в том числе:</w:t>
            </w:r>
          </w:p>
        </w:tc>
        <w:tc>
          <w:tcPr>
            <w:tcW w:w="158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51244,981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41271,116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136578,584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165944,100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99459,700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100732,3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101004,9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101277,000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797512,681</w:t>
            </w:r>
          </w:p>
        </w:tc>
      </w:tr>
      <w:tr>
        <w:trPr/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31475,000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25740,300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82727,700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63000,000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59000,000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-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60000,000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60000,000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60000,000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441943,000</w:t>
            </w:r>
          </w:p>
        </w:tc>
      </w:tr>
      <w:tr>
        <w:trPr>
          <w:trHeight w:val="475" w:hRule="atLeast"/>
        </w:trPr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13709,750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12443,827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13971,453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76700,000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13900,000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14100,000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14300,000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14500,000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173625,030</w:t>
            </w:r>
          </w:p>
        </w:tc>
      </w:tr>
      <w:tr>
        <w:trPr/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6060,231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3087,516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38179,431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26244,100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26559,700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26632,300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26704,900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26777,000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180245,178</w:t>
            </w:r>
          </w:p>
        </w:tc>
      </w:tr>
      <w:tr>
        <w:trPr/>
        <w:tc>
          <w:tcPr>
            <w:tcW w:w="510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Внебюджетные источники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1700,000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9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1700,000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89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081И455550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0505 081И454240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37366,451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109641,600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147008,051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31475,000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95899,100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23800,000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151174,100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1311,458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2312,000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3245,500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6868,958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4579,993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9730,500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4950,000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19260,493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Внебюджетные источники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1700,000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1700,000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  <w:t>Региональный проект «Решаем вместе» в рамках инициативного бюджетирования»</w:t>
            </w:r>
          </w:p>
        </w:tc>
        <w:tc>
          <w:tcPr>
            <w:tcW w:w="1589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892 0503 1120260300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892 0503 1120270300</w:t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17659,550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15515,343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17038,634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17310,100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17582,700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17855,300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18127,900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18400,500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139490,027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12398,292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12443,827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12500,000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12700,000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12900,000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13100,000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13300,000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13500,000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102842,119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1465,238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3071,516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4538,634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4610,100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4682,700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4755,300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4827,900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4900,500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32851,888</w:t>
            </w:r>
          </w:p>
        </w:tc>
      </w:tr>
      <w:tr>
        <w:trPr/>
        <w:tc>
          <w:tcPr>
            <w:tcW w:w="510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Внебюджетные источники</w:t>
            </w:r>
          </w:p>
        </w:tc>
        <w:tc>
          <w:tcPr>
            <w:tcW w:w="1589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590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892 0503 1140171350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200</w:t>
            </w:r>
          </w:p>
        </w:tc>
        <w:tc>
          <w:tcPr>
            <w:tcW w:w="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15,000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16,000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7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85,000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90" w:type="dxa"/>
            <w:gridSpan w:val="2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90" w:type="dxa"/>
            <w:gridSpan w:val="2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15,000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16,000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79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85,000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1590" w:type="dxa"/>
            <w:gridSpan w:val="2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Внебюджетные источники</w:t>
            </w:r>
          </w:p>
        </w:tc>
        <w:tc>
          <w:tcPr>
            <w:tcW w:w="1590" w:type="dxa"/>
            <w:gridSpan w:val="2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6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1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2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96"/>
        <w:gridCol w:w="4790"/>
      </w:tblGrid>
      <w:tr>
        <w:trPr/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риложение 1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к паспорту муниципальной программы «Формирование современной городской среды на территории Красногвардейского района»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>План реализации муниципального проекта</w:t>
      </w:r>
      <w:r>
        <w:rPr>
          <w:rFonts w:cs="Tinos" w:ascii="Times New Roman" w:hAnsi="Times New Roman"/>
        </w:rPr>
        <w:t xml:space="preserve"> </w:t>
      </w:r>
      <w:r>
        <w:rPr>
          <w:rFonts w:cs="Tinos" w:ascii="Times New Roman" w:hAnsi="Times New Roman"/>
          <w:b/>
          <w:bCs/>
          <w:sz w:val="28"/>
          <w:szCs w:val="28"/>
        </w:rPr>
        <w:t>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af4"/>
        <w:tblW w:w="15033" w:type="dxa"/>
        <w:jc w:val="left"/>
        <w:tblInd w:w="-6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2503"/>
        <w:gridCol w:w="780"/>
        <w:gridCol w:w="782"/>
        <w:gridCol w:w="1335"/>
        <w:gridCol w:w="1418"/>
        <w:gridCol w:w="1467"/>
        <w:gridCol w:w="1533"/>
        <w:gridCol w:w="1134"/>
        <w:gridCol w:w="992"/>
        <w:gridCol w:w="948"/>
        <w:gridCol w:w="1437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п/п</w:t>
            </w:r>
          </w:p>
        </w:tc>
        <w:tc>
          <w:tcPr>
            <w:tcW w:w="25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56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Срок реализации</w:t>
            </w:r>
          </w:p>
        </w:tc>
        <w:tc>
          <w:tcPr>
            <w:tcW w:w="275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Взаимосвязь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Ответственный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исполнитель</w:t>
            </w:r>
          </w:p>
        </w:tc>
        <w:tc>
          <w:tcPr>
            <w:tcW w:w="153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Адрес объекта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(в соответствии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с ФИАС)</w:t>
            </w:r>
          </w:p>
        </w:tc>
        <w:tc>
          <w:tcPr>
            <w:tcW w:w="212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Мощность объекта</w:t>
            </w:r>
          </w:p>
        </w:tc>
        <w:tc>
          <w:tcPr>
            <w:tcW w:w="9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Объем финансового обеспечения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(тыс.руб.)</w:t>
            </w:r>
          </w:p>
        </w:tc>
        <w:tc>
          <w:tcPr>
            <w:tcW w:w="143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Вид документа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-55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и характерстика мероприятия (результата)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начало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окончание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предшественники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последователи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(по ОКЕИ)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Значение</w:t>
            </w:r>
          </w:p>
        </w:tc>
        <w:tc>
          <w:tcPr>
            <w:tcW w:w="94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2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3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4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6</w:t>
            </w:r>
          </w:p>
        </w:tc>
        <w:tc>
          <w:tcPr>
            <w:tcW w:w="146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7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10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11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12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4329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«Формирование комфортной городской среды»</w:t>
            </w:r>
          </w:p>
        </w:tc>
      </w:tr>
      <w:tr>
        <w:trPr>
          <w:trHeight w:val="1701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реализованы мероприятия по благоустройству дворовых территорий многоквартирных домов, общественных и иных территорий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0,0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1.1.1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1.1.2.</w:t>
            </w:r>
          </w:p>
        </w:tc>
        <w:tc>
          <w:tcPr>
            <w:tcW w:w="250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Контрольная точка «Получены положительные заключения по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результатам государственных экспертиз»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Положительное заключение</w:t>
            </w:r>
          </w:p>
        </w:tc>
      </w:tr>
      <w:tr>
        <w:trPr>
          <w:trHeight w:val="184" w:hRule="atLeast"/>
        </w:trPr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1.1.3.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контрактов»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1.1.4.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муниципальные контракты»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Муниципальный контракт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1.1.5.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«Строительно-монтажные работы выполнены»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Отчет</w:t>
            </w:r>
          </w:p>
        </w:tc>
      </w:tr>
      <w:tr>
        <w:trPr>
          <w:trHeight w:val="709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1.1.6.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1.1.7.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1.2.</w:t>
            </w:r>
          </w:p>
        </w:tc>
        <w:tc>
          <w:tcPr>
            <w:tcW w:w="14329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«Решаем вместе» в рамках инициативного бюджетирования»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1.2.1.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«Реализованы мероприятия по реализации инициативных проектов в рамках инициативного бюджетирования»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139490,027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«Получены положительные заключения по результатам государственных экспертиз»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Положительное заключение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контрактов»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муниципальные контракты»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Муниципальный контракт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1.2.6.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«Строительно-монтажные работы выполнены»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Отчет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1.2.7.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1.2.8.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1.3.</w:t>
            </w:r>
          </w:p>
        </w:tc>
        <w:tc>
          <w:tcPr>
            <w:tcW w:w="14329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«Благоустройство территорий различного функционального назначения»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1.3.1.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«Организовано благоустройство территорий населенных пунктах на территории Белгородского района»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122740,300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1.3.2.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«Получены положительные заключения по результатам государственных экспертиз»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Положительное заключение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контрактов»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муниципальные контракты»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Муниципальный контракт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1.3.6.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«Строительно-монтажные работы выполнены»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1.3.7.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1.3.8.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14329" w:type="dxa"/>
            <w:gridSpan w:val="11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1.3.1.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«Созданы условия для обеспечения населения качественными услугами жилищно-коммунального хозяйства»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shd w:fill="FFD821" w:val="clear"/>
                <w:lang w:val="ru-RU" w:bidi="ar-SA"/>
              </w:rPr>
              <w:t>Лобачев Р.Н. - начальник управления строительства и ЖКХ администрации района</w:t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119172,000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1.3.2.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договоров»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договора»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Договор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1.3.8.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«Благоустройство территорий различного функционального назначения»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Краткое наименование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« 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Благоустройство территорий различного функционального назначения</w:t>
            </w: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 в границах Красногвардейского района»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«Благоустройство территорий различного функционального назначения»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188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9"/>
        <w:gridCol w:w="1608"/>
        <w:gridCol w:w="1113"/>
        <w:gridCol w:w="1237"/>
        <w:gridCol w:w="987"/>
        <w:gridCol w:w="747"/>
        <w:gridCol w:w="738"/>
        <w:gridCol w:w="620"/>
        <w:gridCol w:w="624"/>
        <w:gridCol w:w="737"/>
        <w:gridCol w:w="677"/>
        <w:gridCol w:w="802"/>
        <w:gridCol w:w="708"/>
        <w:gridCol w:w="849"/>
        <w:gridCol w:w="995"/>
        <w:gridCol w:w="1134"/>
        <w:gridCol w:w="1123"/>
      </w:tblGrid>
      <w:tr>
        <w:trPr/>
        <w:tc>
          <w:tcPr>
            <w:tcW w:w="48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5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7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95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образования Красногвардейский района»</w:t>
            </w:r>
          </w:p>
        </w:tc>
        <w:tc>
          <w:tcPr>
            <w:tcW w:w="1123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113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Связь</w:t>
            </w:r>
            <w:r>
              <w:rPr>
                <w:rFonts w:cs="Tinos" w:ascii="Times New Roman" w:hAnsi="Times New Roman"/>
                <w:b/>
                <w:spacing w:val="-8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</w:t>
            </w:r>
            <w:r>
              <w:rPr>
                <w:rFonts w:cs="Tinos" w:ascii="Times New Roman" w:hAnsi="Times New Roman"/>
                <w:b/>
                <w:spacing w:val="-10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показателями национальных</w:t>
            </w:r>
            <w:r>
              <w:rPr>
                <w:rFonts w:cs="Tinos" w:ascii="Times New Roman" w:hAnsi="Times New Roman"/>
                <w:b/>
                <w:spacing w:val="13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целей</w:t>
            </w:r>
          </w:p>
        </w:tc>
      </w:tr>
      <w:tr>
        <w:trPr/>
        <w:tc>
          <w:tcPr>
            <w:tcW w:w="48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/>
        <w:tc>
          <w:tcPr>
            <w:tcW w:w="12931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«Благоустройство территорий различного функционального назначения»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1. Количество благоустроенных дворовых </w:t>
              <w:br/>
              <w:t xml:space="preserve">и общественных территорий различного функционального назначения,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включенных </w:t>
              <w:br/>
              <w:t xml:space="preserve">в муниципальную программу  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1134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Улучшение качества городской среды в полтора раза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2. Количество благоустроенных дворовых территорий, включенных </w:t>
              <w:br/>
              <w:t xml:space="preserve">в муниципальную программу 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0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1134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Улучшение качества городской среды в полтора раза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3. Доля дворовых 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Красногвардейского района, благоустроенных </w:t>
              <w:br/>
              <w:t xml:space="preserve">с трудовым участием граждан,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заинтересованных организаций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от общего количества дворовых </w:t>
              <w:br/>
              <w:t xml:space="preserve">и общественных территорий, благоустроенных </w:t>
              <w:br/>
              <w:t xml:space="preserve">в ходе реализации муниципальной программы 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1134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Улучшение качества городской среды в полтора раза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4. Доля граждан, принявших участие </w:t>
              <w:br/>
              <w:t xml:space="preserve">в решении вопросов развития городской среды от общего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количества граждан </w:t>
              <w:br/>
              <w:t xml:space="preserve">в возрасте от 14 лет,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проживающих </w:t>
              <w:br/>
              <w:t xml:space="preserve">в муниципальных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на территории которых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реализуются проекты по созданию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комфортной городской 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highlight w:val="white"/>
                <w:lang w:val="ru-RU" w:bidi="ar-SA"/>
              </w:rPr>
              <w:t>среды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1134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Улучшение качества городской среды в полтора раза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5. Количество реализованных проектов по благоустройству мест массового отдыха </w:t>
            </w:r>
          </w:p>
        </w:tc>
        <w:tc>
          <w:tcPr>
            <w:tcW w:w="11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2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6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1134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1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Улучшение качества городской среды в полтора раза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Мероприятия (результаты)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«Благоустройство территорий различного функционального назначения»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702"/>
        <w:gridCol w:w="1698"/>
        <w:gridCol w:w="711"/>
        <w:gridCol w:w="709"/>
        <w:gridCol w:w="708"/>
        <w:gridCol w:w="708"/>
        <w:gridCol w:w="711"/>
        <w:gridCol w:w="708"/>
        <w:gridCol w:w="709"/>
        <w:gridCol w:w="710"/>
        <w:gridCol w:w="709"/>
        <w:gridCol w:w="708"/>
        <w:gridCol w:w="993"/>
        <w:gridCol w:w="991"/>
        <w:gridCol w:w="1134"/>
        <w:gridCol w:w="1277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0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69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1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41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lang w:val="ru-RU" w:bidi="ar-SA"/>
              </w:rPr>
              <w:t>Основное мероприятие «Благоустройство дворовых территорий многоквартирных домов, общественных и иных территорий соответствующего функционального назначения в границах Красногвардейского района»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Реализация мероприятий по благоустройству дворовых и общественных территорий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Оказа</w:t>
              <w:br/>
              <w:t>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Для развития  современной городской среды городского и сельских населенных пунктов будут выполнены мероприятия по благоустройству дворовых, общественных и иных территорий Красногвардейского района.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«Благоустройство территорий различного функционального назначения»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1561"/>
        <w:gridCol w:w="709"/>
        <w:gridCol w:w="1415"/>
        <w:gridCol w:w="710"/>
        <w:gridCol w:w="992"/>
        <w:gridCol w:w="709"/>
        <w:gridCol w:w="709"/>
        <w:gridCol w:w="745"/>
        <w:gridCol w:w="709"/>
        <w:gridCol w:w="1378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8076" w:type="dxa"/>
            <w:gridSpan w:val="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«Благоустройство территорий различного функционального назначения»,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25740,300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18000,000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19000,000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122740,300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25740,300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18000,000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19000,000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20000,000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122740,300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113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Внебюджетные источники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0,0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регионального проекта «Благоустройство территорий различного функционального назначения»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708"/>
        <w:gridCol w:w="993"/>
        <w:gridCol w:w="670"/>
        <w:gridCol w:w="962"/>
        <w:gridCol w:w="525"/>
        <w:gridCol w:w="901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5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9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5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9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color w:val="111111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shd w:fill="auto" w:val="clear"/>
                <w:lang w:val="ru-RU" w:bidi="ar-SA"/>
              </w:rPr>
              <w:t>Задача 1 "Создание условий для повышения уровня благоустройства городских и сельских территорий Белгородской области"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shd w:fill="auto" w:val="clear"/>
                <w:lang w:val="ru-RU" w:bidi="ar-SA"/>
              </w:rPr>
              <w:t>Реализация мероприятий по благоустройству дворовых и общественных пространств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highlight w:val="none"/>
          <w:shd w:fill="auto" w:val="clear"/>
        </w:rPr>
      </w:pPr>
      <w:r>
        <w:rPr>
          <w:rFonts w:cs="Tinos" w:ascii="Times New Roman" w:hAnsi="Times New Roman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Краткое наименование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Решаем вместе» в рамках инициативного бюджетирования</w:t>
            </w:r>
            <w:r>
              <w:rPr>
                <w:rFonts w:cs="Tinos" w:ascii="Times New Roman" w:hAnsi="Times New Roman"/>
                <w:kern w:val="0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09"/>
        <w:gridCol w:w="1112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994"/>
        <w:gridCol w:w="957"/>
        <w:gridCol w:w="1475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  <w:tc>
          <w:tcPr>
            <w:tcW w:w="95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образования Красногвардейский района»</w:t>
            </w:r>
          </w:p>
        </w:tc>
        <w:tc>
          <w:tcPr>
            <w:tcW w:w="1475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113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Связь</w:t>
            </w:r>
            <w:r>
              <w:rPr>
                <w:rFonts w:cs="Tinos" w:ascii="Times New Roman" w:hAnsi="Times New Roman"/>
                <w:b/>
                <w:spacing w:val="-8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</w:t>
            </w:r>
            <w:r>
              <w:rPr>
                <w:rFonts w:cs="Tinos" w:ascii="Times New Roman" w:hAnsi="Times New Roman"/>
                <w:b/>
                <w:spacing w:val="-10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показателями национальных</w:t>
            </w:r>
            <w:r>
              <w:rPr>
                <w:rFonts w:cs="Tinos" w:ascii="Times New Roman" w:hAnsi="Times New Roman"/>
                <w:b/>
                <w:spacing w:val="13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целей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/>
        <w:tc>
          <w:tcPr>
            <w:tcW w:w="12931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"Реализация инициативных проектов в рамках инициативного бюджетирования"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Количество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реализованных проектов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 благоустройству мест массового отдыха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/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2" w:name="P0101002D"/>
            <w:bookmarkEnd w:id="2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по благоустройству мест массового отдыха;</w:t>
            </w:r>
          </w:p>
          <w:p>
            <w:pPr>
              <w:pStyle w:val="Style17"/>
              <w:widowControl w:val="false"/>
              <w:shd w:val="clear" w:fill="FFFFFF"/>
              <w:suppressAutoHyphens w:val="true"/>
              <w:bidi w:val="0"/>
              <w:spacing w:lineRule="auto" w:line="276" w:before="0" w:after="0"/>
              <w:ind w:left="57" w:right="113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3" w:name="P0101002E"/>
            <w:bookmarkEnd w:id="3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Мероприятия (результаты)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702"/>
        <w:gridCol w:w="1698"/>
        <w:gridCol w:w="711"/>
        <w:gridCol w:w="709"/>
        <w:gridCol w:w="708"/>
        <w:gridCol w:w="708"/>
        <w:gridCol w:w="711"/>
        <w:gridCol w:w="708"/>
        <w:gridCol w:w="709"/>
        <w:gridCol w:w="710"/>
        <w:gridCol w:w="709"/>
        <w:gridCol w:w="708"/>
        <w:gridCol w:w="993"/>
        <w:gridCol w:w="991"/>
        <w:gridCol w:w="1134"/>
        <w:gridCol w:w="1277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0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69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1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41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lang w:val="ru-RU" w:bidi="ar-SA"/>
              </w:rPr>
              <w:t>Основное мероприятие «Благоустройство дворовых территорий многоквартирных домов, общественных и иных территорий соответствующего функционального назначения в границах Красногвардейского района»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 w:val="false"/>
                <w:bCs w:val="false"/>
                <w:color w:val="111111"/>
              </w:rPr>
            </w:pP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Реализация инициативных проектов в рамках инициативного бюджетирования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Оказа</w:t>
              <w:br/>
              <w:t>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Для развития  современной городской среды городского и сельских населенных пунктов будут выполнены мероприятия по благоустройству дворовых, общественных и иных территорий Красногвардейского района.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1561"/>
        <w:gridCol w:w="709"/>
        <w:gridCol w:w="1415"/>
        <w:gridCol w:w="710"/>
        <w:gridCol w:w="992"/>
        <w:gridCol w:w="709"/>
        <w:gridCol w:w="709"/>
        <w:gridCol w:w="745"/>
        <w:gridCol w:w="709"/>
        <w:gridCol w:w="1378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8076" w:type="dxa"/>
            <w:gridSpan w:val="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«Благоустройство территорий различного функционального назначения»,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892 0503 1120260300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892 0503 1120270300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17659,550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15515,343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17038,634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17310,100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17582,700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17855,300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18127,900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18400,500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139490,027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12398,292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12443,827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12500,000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12700,000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12900,000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13100,000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13300,000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13500,000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102842,119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1465,238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3071,516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4538,634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4610,100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4682,700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4755,300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4827,900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4900,500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32851,888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Внебюджетные источники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регионального проекта «Решаем вместе» в рамках инициативного бюджетирования»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708"/>
        <w:gridCol w:w="993"/>
        <w:gridCol w:w="670"/>
        <w:gridCol w:w="962"/>
        <w:gridCol w:w="725"/>
        <w:gridCol w:w="701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"Реализация инициативных проектов в рамках инициативного бюджетирования"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Количество  реализованных проектов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по благоустройству мест массового отдыха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17038,634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17038,634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17038,634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17038,634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highlight w:val="none"/>
          <w:shd w:fill="auto" w:val="clear"/>
        </w:rPr>
      </w:pPr>
      <w:r>
        <w:rPr>
          <w:rFonts w:cs="Tinos" w:ascii="Times New Roman" w:hAnsi="Times New Roman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firstLine="709"/>
        <w:contextualSpacing w:val="false"/>
        <w:jc w:val="center"/>
        <w:rPr>
          <w:rFonts w:ascii="Times New Roman" w:hAnsi="Times New Roman" w:cs="Tinos"/>
          <w:b/>
          <w:bCs/>
          <w:sz w:val="28"/>
          <w:szCs w:val="28"/>
        </w:rPr>
      </w:pPr>
      <w:r>
        <w:rPr>
          <w:rFonts w:cs="Tinos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0"/>
          <w:szCs w:val="20"/>
          <w:highlight w:val="yellow"/>
        </w:rPr>
        <w:t xml:space="preserve">                  </w:t>
      </w:r>
      <w:r>
        <w:rPr>
          <w:rFonts w:cs="Tinos" w:ascii="Times New Roman" w:hAnsi="Times New Roman"/>
          <w:b/>
          <w:sz w:val="28"/>
          <w:szCs w:val="28"/>
          <w:highlight w:val="yellow"/>
        </w:rPr>
        <w:t xml:space="preserve">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«Формирование комфортной городской среды»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Краткое наименование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Формирование комфортной городской среды</w:t>
            </w:r>
            <w:r>
              <w:rPr>
                <w:rFonts w:cs="Tinos" w:ascii="Times New Roman" w:hAnsi="Times New Roman"/>
                <w:kern w:val="0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«Формирование комфортной городской среды»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09"/>
        <w:gridCol w:w="1112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994"/>
        <w:gridCol w:w="957"/>
        <w:gridCol w:w="1475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  <w:tc>
          <w:tcPr>
            <w:tcW w:w="95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образования Красногвардейский района»</w:t>
            </w:r>
          </w:p>
        </w:tc>
        <w:tc>
          <w:tcPr>
            <w:tcW w:w="1475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113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Связь</w:t>
            </w:r>
            <w:r>
              <w:rPr>
                <w:rFonts w:cs="Tinos" w:ascii="Times New Roman" w:hAnsi="Times New Roman"/>
                <w:b/>
                <w:spacing w:val="-8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</w:t>
            </w:r>
            <w:r>
              <w:rPr>
                <w:rFonts w:cs="Tinos" w:ascii="Times New Roman" w:hAnsi="Times New Roman"/>
                <w:b/>
                <w:spacing w:val="-10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показателями национальных</w:t>
            </w:r>
            <w:r>
              <w:rPr>
                <w:rFonts w:cs="Tinos" w:ascii="Times New Roman" w:hAnsi="Times New Roman"/>
                <w:b/>
                <w:spacing w:val="13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целей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/>
        <w:tc>
          <w:tcPr>
            <w:tcW w:w="12931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"Повышена комфортность городской среды, в том числе общественных пространств"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color w:val="111111"/>
                <w:sz w:val="18"/>
                <w:szCs w:val="18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Количество реализованных мероприятий по благоустройству дворовых, общественных и иных территорий Красногвардейского района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/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4" w:name="P00C8002D"/>
            <w:bookmarkEnd w:id="4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Количество благоустроенных общественных территорий;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5" w:name="P00C8002E"/>
            <w:bookmarkEnd w:id="5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количество городов с благоприятной городской средой;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6" w:name="P00C8002F"/>
            <w:bookmarkEnd w:id="6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индекс качества городской среды;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7" w:name="P00C80030"/>
            <w:bookmarkEnd w:id="7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доля городов с благоприятной средой от общего количества городов (индекс качества городской среды - выше 19 процентов)</w:t>
            </w:r>
          </w:p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r>
          </w:p>
        </w:tc>
      </w:tr>
      <w:tr>
        <w:trPr/>
        <w:tc>
          <w:tcPr>
            <w:tcW w:w="15363" w:type="dxa"/>
            <w:gridSpan w:val="17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среды"</w:t>
            </w:r>
          </w:p>
        </w:tc>
      </w:tr>
      <w:tr>
        <w:trPr/>
        <w:tc>
          <w:tcPr>
            <w:tcW w:w="4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>
              <w:top w:val="nil"/>
            </w:tcBorders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18"/>
                <w:szCs w:val="18"/>
              </w:rPr>
            </w:pPr>
            <w:bookmarkStart w:id="8" w:name="P00B2001D_Копия_1"/>
            <w:bookmarkEnd w:id="8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1. Прирост среднего индекса качества городской среды по отношению к 2019 году.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</w:r>
          </w:p>
        </w:tc>
        <w:tc>
          <w:tcPr>
            <w:tcW w:w="111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12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62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>1 городское поселение</w:t>
            </w:r>
          </w:p>
        </w:tc>
        <w:tc>
          <w:tcPr>
            <w:tcW w:w="1475" w:type="dxa"/>
            <w:tcBorders>
              <w:top w:val="nil"/>
            </w:tcBorders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9" w:name="P00C8002F_Копия_2"/>
            <w:bookmarkEnd w:id="9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индекс качества городской среды</w:t>
            </w:r>
          </w:p>
        </w:tc>
      </w:tr>
      <w:tr>
        <w:trPr/>
        <w:tc>
          <w:tcPr>
            <w:tcW w:w="4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>
              <w:top w:val="nil"/>
            </w:tcBorders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10" w:name="P00B2001E_Копия_1"/>
            <w:bookmarkEnd w:id="1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2.Количество реализованных мероприятий по благоустройству территории городского поселения «Город Бирюч» Красногвардейского района</w:t>
            </w:r>
          </w:p>
        </w:tc>
        <w:tc>
          <w:tcPr>
            <w:tcW w:w="111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3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11" w:name="P00C8002D_Копия_1"/>
            <w:bookmarkEnd w:id="11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Количество благоустроенных общественных территорий;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12" w:name="P00C8002E_Копия_1"/>
            <w:bookmarkEnd w:id="12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количество городов с благоприятной городской средой;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13" w:name="P00C8002F_Копия_1"/>
            <w:bookmarkEnd w:id="13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индекс качества городской среды;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bookmarkStart w:id="14" w:name="P00C80030_Копия_1"/>
            <w:bookmarkEnd w:id="14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  <w:t>доля городов с благоприятной средой от общего количества городов (индекс качества городской среды - выше 19 процентов)</w:t>
            </w:r>
          </w:p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Мероприятия (результаты)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«Формирование комфортной городской среды»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923"/>
        <w:gridCol w:w="27"/>
        <w:gridCol w:w="1450"/>
        <w:gridCol w:w="25"/>
        <w:gridCol w:w="736"/>
        <w:gridCol w:w="659"/>
        <w:gridCol w:w="16"/>
        <w:gridCol w:w="675"/>
        <w:gridCol w:w="17"/>
        <w:gridCol w:w="708"/>
        <w:gridCol w:w="14"/>
        <w:gridCol w:w="688"/>
        <w:gridCol w:w="9"/>
        <w:gridCol w:w="708"/>
        <w:gridCol w:w="20"/>
        <w:gridCol w:w="675"/>
        <w:gridCol w:w="14"/>
        <w:gridCol w:w="710"/>
        <w:gridCol w:w="14"/>
        <w:gridCol w:w="686"/>
        <w:gridCol w:w="9"/>
        <w:gridCol w:w="708"/>
        <w:gridCol w:w="8"/>
        <w:gridCol w:w="976"/>
        <w:gridCol w:w="9"/>
        <w:gridCol w:w="991"/>
        <w:gridCol w:w="13"/>
        <w:gridCol w:w="850"/>
        <w:gridCol w:w="1548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92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477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61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367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863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5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7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61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3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4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"Повышена комфортность городской среды, в том числе общественных пространств"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9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bCs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444444"/>
                <w:spacing w:val="0"/>
                <w:kern w:val="0"/>
                <w:sz w:val="20"/>
                <w:szCs w:val="20"/>
                <w:lang w:val="ru-RU" w:bidi="ar-SA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47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61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86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Да</w:t>
            </w:r>
          </w:p>
        </w:tc>
        <w:tc>
          <w:tcPr>
            <w:tcW w:w="15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111111"/>
                <w:sz w:val="18"/>
                <w:szCs w:val="18"/>
              </w:rPr>
            </w:pPr>
            <w:bookmarkStart w:id="15" w:name="P00C8002D_Копия_4"/>
            <w:bookmarkEnd w:id="15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Количество благоустроенных общественных территорий;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16" w:name="P00C8002E_Копия_4"/>
            <w:bookmarkEnd w:id="16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количество городов с благоприятной городской средой;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17" w:name="P00C8002F_Копия_5"/>
            <w:bookmarkEnd w:id="17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индекс качества городской среды;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color w:val="111111"/>
                <w:sz w:val="18"/>
                <w:szCs w:val="18"/>
              </w:rPr>
            </w:pPr>
            <w:bookmarkStart w:id="18" w:name="P00C80030_Копия_5"/>
            <w:bookmarkEnd w:id="18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доля городов с благоприятной средой от общего количества городов (индекс качества городской среды - выше 19 процентов)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color w:val="111111"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bookmarkStart w:id="19" w:name="P00C80032"/>
            <w:bookmarkEnd w:id="19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Ежегодно на территории Красногвардейского района будут: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bookmarkStart w:id="20" w:name="P00C80033"/>
            <w:bookmarkEnd w:id="2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bookmarkStart w:id="21" w:name="P00C80034"/>
            <w:bookmarkEnd w:id="21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- приведены в нормативное состояние общественные территории;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bookmarkStart w:id="22" w:name="P00C80035"/>
            <w:bookmarkEnd w:id="22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- созданы механизмы вовлечения граждан в решение вопросов городского развития;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bookmarkStart w:id="23" w:name="P00C80036"/>
            <w:bookmarkEnd w:id="23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- улучшено общее социально-экономическое состояние муниципального образования;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/>
            </w:pPr>
            <w:bookmarkStart w:id="24" w:name="P00C80037"/>
            <w:bookmarkEnd w:id="24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- созданы новые возможности для развития предпринимательства, туризма в Красногвардейском районе.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среды"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4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6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7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8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8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5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1013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85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48" w:type="dxa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jc w:val="center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bookmarkStart w:id="25" w:name="P00C8004A"/>
            <w:bookmarkEnd w:id="25"/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bookmarkStart w:id="26" w:name="P00C8004B"/>
            <w:bookmarkEnd w:id="26"/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bookmarkStart w:id="27" w:name="P00C8004C"/>
            <w:bookmarkEnd w:id="27"/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прирост среднего индекса качества городской среды по отношению к 2019 году;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bookmarkStart w:id="28" w:name="P00C8004D"/>
            <w:bookmarkEnd w:id="28"/>
            <w:r>
              <w:rPr>
                <w:rFonts w:ascii="Arial;sans-serif" w:hAnsi="Arial;sans-serif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111111"/>
                <w:sz w:val="16"/>
                <w:szCs w:val="16"/>
              </w:rPr>
            </w:pPr>
            <w:r>
              <w:rPr>
                <w:rFonts w:ascii="Times New Roman" w:hAnsi="Times New Roman"/>
                <w:color w:val="111111"/>
                <w:sz w:val="16"/>
                <w:szCs w:val="16"/>
              </w:rPr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Ежегодно на территории муниципалитетов - победителей Всероссийского конкурса лучших проектов создания комфортной городской среды будут: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29" w:name="P00C80050"/>
            <w:bookmarkEnd w:id="29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30" w:name="P00C80051"/>
            <w:bookmarkEnd w:id="3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улучшено общее социально-экономическое состояние муниципалитета;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31" w:name="P00C80052"/>
            <w:bookmarkEnd w:id="31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созданы новые возможности для развития предпринимательства, туризма,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32" w:name="P00C80053"/>
            <w:bookmarkEnd w:id="32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сохранены и восстановлены исторические территории района;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</w:pPr>
            <w:bookmarkStart w:id="33" w:name="P00C80054"/>
            <w:bookmarkEnd w:id="33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повышен индекс качества городской среды города Бирюч;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rPr>
                <w:rFonts w:ascii="Times New Roman" w:hAnsi="Times New Roman"/>
                <w:color w:val="111111"/>
                <w:sz w:val="18"/>
                <w:szCs w:val="18"/>
              </w:rPr>
            </w:pPr>
            <w:bookmarkStart w:id="34" w:name="P00C80055"/>
            <w:bookmarkEnd w:id="34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8"/>
                <w:szCs w:val="18"/>
              </w:rPr>
              <w:t>- сокращено количество городов с неблагоприятной городской средой.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«Формирование комфортной городской среды»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1561"/>
        <w:gridCol w:w="709"/>
        <w:gridCol w:w="1415"/>
        <w:gridCol w:w="710"/>
        <w:gridCol w:w="992"/>
        <w:gridCol w:w="709"/>
        <w:gridCol w:w="709"/>
        <w:gridCol w:w="745"/>
        <w:gridCol w:w="709"/>
        <w:gridCol w:w="1378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8076" w:type="dxa"/>
            <w:gridSpan w:val="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«Формирование комфортной городской среды»,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081И455550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0505 081И454240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37366,451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109641,600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147008,051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31475,000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95899,100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23800,000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151174,100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1311,458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2312,000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3245,500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6868,958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4579,993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9730,500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4950,000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19260,493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Внебюджетные источники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227" w:right="0" w:hanging="113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1700,000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1700,000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регионального проекта «Формирование комфортной городской среды»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708"/>
        <w:gridCol w:w="993"/>
        <w:gridCol w:w="670"/>
        <w:gridCol w:w="962"/>
        <w:gridCol w:w="725"/>
        <w:gridCol w:w="701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"Повышена комфортность городской среды, в том числе общественных пространств"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Реализованны проекты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по благоустройству мест массового отдыха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54820,800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54820,800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109641,600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54820,800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54820,800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109641,600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sz w:val="28"/>
          <w:szCs w:val="28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Краткое наименование  </w:t>
            </w:r>
            <w:r>
              <w:rPr>
                <w:rFonts w:cs="Tinos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</w:t>
            </w: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8"/>
                <w:lang w:val="ru-RU" w:bidi="ar-SA"/>
              </w:rPr>
              <w:t>омплекса процессных мероприятий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bidi="ar-SA"/>
              </w:rPr>
              <w:t>Создание условий для обеспечения населения качественными услугами жилищно-коммунального хозяйства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09"/>
        <w:gridCol w:w="1112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3426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3426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3426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34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</w:tr>
      <w:tr>
        <w:trPr/>
        <w:tc>
          <w:tcPr>
            <w:tcW w:w="15363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color w:val="111111"/>
                <w:sz w:val="18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Количество светоточек на территории населенных пунктов Красногвардейском районе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5,896</w:t>
            </w:r>
          </w:p>
        </w:tc>
        <w:tc>
          <w:tcPr>
            <w:tcW w:w="3426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</w:tr>
      <w:tr>
        <w:trPr/>
        <w:tc>
          <w:tcPr>
            <w:tcW w:w="15363" w:type="dxa"/>
            <w:gridSpan w:val="15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4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>
              <w:top w:val="nil"/>
            </w:tcBorders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18"/>
              </w:rPr>
            </w:pPr>
            <w:bookmarkStart w:id="35" w:name="P00B2001D_Копия_1_Копия_2"/>
            <w:bookmarkEnd w:id="35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1. Количество умерших (погибших), не имеющих супруга, близких родственников, иных родственников либо законного представителя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</w:r>
          </w:p>
        </w:tc>
        <w:tc>
          <w:tcPr>
            <w:tcW w:w="111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12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62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2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Перечень мероприятий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923"/>
        <w:gridCol w:w="27"/>
        <w:gridCol w:w="1450"/>
        <w:gridCol w:w="25"/>
        <w:gridCol w:w="736"/>
        <w:gridCol w:w="659"/>
        <w:gridCol w:w="16"/>
        <w:gridCol w:w="675"/>
        <w:gridCol w:w="17"/>
        <w:gridCol w:w="708"/>
        <w:gridCol w:w="14"/>
        <w:gridCol w:w="688"/>
        <w:gridCol w:w="9"/>
        <w:gridCol w:w="708"/>
        <w:gridCol w:w="20"/>
        <w:gridCol w:w="675"/>
        <w:gridCol w:w="14"/>
        <w:gridCol w:w="710"/>
        <w:gridCol w:w="14"/>
        <w:gridCol w:w="686"/>
        <w:gridCol w:w="9"/>
        <w:gridCol w:w="708"/>
        <w:gridCol w:w="8"/>
        <w:gridCol w:w="976"/>
        <w:gridCol w:w="9"/>
        <w:gridCol w:w="991"/>
        <w:gridCol w:w="13"/>
        <w:gridCol w:w="850"/>
        <w:gridCol w:w="1548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92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477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61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367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863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5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color w:val="111111"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7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61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3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4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9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bCs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Организовано наружное освещение населенных пунктов Белгородской области</w:t>
            </w:r>
          </w:p>
        </w:tc>
        <w:tc>
          <w:tcPr>
            <w:tcW w:w="147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61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color w:val="111111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5,896</w:t>
            </w:r>
          </w:p>
        </w:tc>
        <w:tc>
          <w:tcPr>
            <w:tcW w:w="993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20"/>
                <w:szCs w:val="20"/>
                <w:lang w:val="ru-RU" w:bidi="ar-SA"/>
              </w:rPr>
              <w:t>Оказание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86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Да</w:t>
            </w:r>
          </w:p>
        </w:tc>
        <w:tc>
          <w:tcPr>
            <w:tcW w:w="1548" w:type="dxa"/>
            <w:tcBorders/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Количество светоточек на территории населенных пунктов Красногвардейского района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color w:val="111111"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95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Возмещены расходы по гарантированному перечню услуг по погребению муниципальным образованиям области</w:t>
            </w:r>
          </w:p>
        </w:tc>
        <w:tc>
          <w:tcPr>
            <w:tcW w:w="14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6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7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8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3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85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48" w:type="dxa"/>
            <w:tcBorders>
              <w:top w:val="nil"/>
            </w:tcBorders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hAnsi="Times New Roman"/>
                <w:color w:val="111111"/>
                <w:sz w:val="20"/>
                <w:szCs w:val="20"/>
              </w:rPr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 </w:t>
            </w:r>
            <w:r>
              <w:fldChar w:fldCharType="begin"/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instrText xml:space="preserve"> HYPERLINK "https://docs.cntd.ru/document/9015335" \l "8OU0LS"</w:instrText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fldChar w:fldCharType="separate"/>
            </w:r>
            <w:r>
              <w:rPr>
                <w:rStyle w:val="-"/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111111"/>
                <w:spacing w:val="0"/>
                <w:sz w:val="20"/>
                <w:szCs w:val="20"/>
                <w:u w:val="none"/>
                <w:effect w:val="none"/>
                <w:shd w:fill="FFFFFF" w:val="clear"/>
              </w:rPr>
              <w:t>статьи 12 Федерального закона от 12 января 1996 года N 8-ФЗ "О погребении и похоронном деле"</w:t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fldChar w:fldCharType="end"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111111"/>
                <w:spacing w:val="0"/>
                <w:sz w:val="20"/>
                <w:szCs w:val="20"/>
                <w:u w:val="none"/>
                <w:effect w:val="none"/>
                <w:shd w:fill="FFFFFF" w:val="clear"/>
              </w:rPr>
              <w:t>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/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1561"/>
        <w:gridCol w:w="709"/>
        <w:gridCol w:w="1415"/>
        <w:gridCol w:w="710"/>
        <w:gridCol w:w="992"/>
        <w:gridCol w:w="709"/>
        <w:gridCol w:w="709"/>
        <w:gridCol w:w="745"/>
        <w:gridCol w:w="709"/>
        <w:gridCol w:w="1378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8076" w:type="dxa"/>
            <w:gridSpan w:val="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lang w:val="ru-RU" w:bidi="ar-SA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  <w:t>892 0503 1140171350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15,000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16,000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85,000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15,000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16,000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Внебюджетные источники</w:t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auto" w:val="clear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708"/>
        <w:gridCol w:w="993"/>
        <w:gridCol w:w="670"/>
        <w:gridCol w:w="962"/>
        <w:gridCol w:w="725"/>
        <w:gridCol w:w="701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72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70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Организация наружного освещения населенных пунктов Белгородской области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6870,500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27482,000</w:t>
            </w:r>
          </w:p>
        </w:tc>
      </w:tr>
      <w:tr>
        <w:trPr/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894" w:type="dxa"/>
            <w:gridSpan w:val="13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Выплата социального пособия на погребения и возмещение расходов по гарантированному перечню услуг по погребению в рамках ст. 12 Федерального Закона от 12.01.1996 № 8-ФЗ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2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17,000</w:t>
            </w:r>
          </w:p>
        </w:tc>
        <w:tc>
          <w:tcPr>
            <w:tcW w:w="62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17,000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6870,500</w:t>
            </w:r>
          </w:p>
        </w:tc>
        <w:tc>
          <w:tcPr>
            <w:tcW w:w="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17,000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27499,000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Arial;sans-serif" w:hAnsi="Arial;sans-serif" w:cs="Tinos"/>
          <w:b/>
          <w:i w:val="false"/>
          <w:i w:val="false"/>
          <w:caps w:val="false"/>
          <w:smallCaps w:val="false"/>
          <w:color w:val="444444"/>
          <w:spacing w:val="0"/>
          <w:sz w:val="24"/>
          <w:szCs w:val="20"/>
          <w:highlight w:val="none"/>
          <w:shd w:fill="auto" w:val="clear"/>
        </w:rPr>
      </w:pPr>
      <w:r>
        <w:rPr>
          <w:rFonts w:cs="Tinos" w:ascii="Arial;sans-serif" w:hAnsi="Arial;sans-serif"/>
          <w:b/>
          <w:i w:val="false"/>
          <w:caps w:val="false"/>
          <w:smallCaps w:val="false"/>
          <w:color w:val="444444"/>
          <w:spacing w:val="0"/>
          <w:sz w:val="24"/>
          <w:szCs w:val="20"/>
          <w:shd w:fill="auto" w:val="clear"/>
        </w:rPr>
      </w:r>
    </w:p>
    <w:p>
      <w:pPr>
        <w:pStyle w:val="Normal"/>
        <w:spacing w:before="0" w:after="20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sectPr>
      <w:headerReference w:type="default" r:id="rId4"/>
      <w:headerReference w:type="first" r:id="rId5"/>
      <w:type w:val="nextPage"/>
      <w:pgSz w:orient="landscape" w:w="16838" w:h="11906"/>
      <w:pgMar w:left="1701" w:right="850" w:gutter="0" w:header="388" w:top="813" w:footer="0" w:bottom="113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  <w:font w:name="Arial">
    <w:altName w:val="sans-serif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33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ind w:left="0" w:right="0" w:firstLine="709"/>
      <w:contextualSpacing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contextualSpacing w:val="false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contextualSpacing w:val="false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contextualSpacing w:val="false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contextualSpacing w:val="false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contextualSpacing w:val="false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contextualSpacing w:val="false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contextualSpacing w:val="false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contextualSpacing w:val="false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contextualSpacing w:val="false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-">
    <w:name w:val="Hyperlink"/>
    <w:uiPriority w:val="99"/>
    <w:unhideWhenUsed/>
    <w:qFormat/>
    <w:rPr>
      <w:color w:val="0563C1" w:themeColor="hyperlink"/>
      <w:u w:val="single"/>
    </w:rPr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9" w:customStyle="1">
    <w:name w:val="Название Знак"/>
    <w:uiPriority w:val="10"/>
    <w:qFormat/>
    <w:rPr>
      <w:sz w:val="48"/>
      <w:szCs w:val="48"/>
    </w:rPr>
  </w:style>
  <w:style w:type="character" w:styleId="Style10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11" w:customStyle="1">
    <w:name w:val="Выделенная цитата Знак"/>
    <w:link w:val="IntenseQuote"/>
    <w:uiPriority w:val="30"/>
    <w:qFormat/>
    <w:rPr>
      <w:i/>
    </w:rPr>
  </w:style>
  <w:style w:type="character" w:styleId="Style12" w:customStyle="1">
    <w:name w:val="Верхний колонтитул Знак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13" w:customStyle="1">
    <w:name w:val="Нижний колонтитул Знак"/>
    <w:uiPriority w:val="99"/>
    <w:qFormat/>
    <w:rPr/>
  </w:style>
  <w:style w:type="character" w:styleId="Style14" w:customStyle="1">
    <w:name w:val="Текст сноски Знак"/>
    <w:uiPriority w:val="99"/>
    <w:qFormat/>
    <w:rPr>
      <w:sz w:val="18"/>
    </w:rPr>
  </w:style>
  <w:style w:type="character" w:styleId="Style15" w:customStyle="1">
    <w:name w:val="Текст концевой сноски Знак"/>
    <w:uiPriority w:val="99"/>
    <w:qFormat/>
    <w:rPr>
      <w:sz w:val="20"/>
    </w:rPr>
  </w:style>
  <w:style w:type="character" w:styleId="23" w:customStyle="1">
    <w:name w:val="Основной текст (2)"/>
    <w:qFormat/>
    <w:rPr>
      <w:rFonts w:ascii="Times New Roman" w:hAnsi="Times New Roman" w:eastAsia="Times New Roman" w:cs="Times New Roman"/>
      <w:color w:val="000000"/>
      <w:spacing w:val="0"/>
      <w:sz w:val="28"/>
      <w:szCs w:val="28"/>
      <w:u w:val="none"/>
      <w:lang w:val="ru-RU" w:eastAsia="ru-RU" w:bidi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  <w:contextualSpacing w:val="false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  <w:contextualSpacing w:val="false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  <w:contextualSpacing w:val="false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Endnote Text"/>
    <w:basedOn w:val="Normal"/>
    <w:link w:val="Style15"/>
    <w:uiPriority w:val="99"/>
    <w:semiHidden/>
    <w:unhideWhenUsed/>
    <w:pPr>
      <w:spacing w:lineRule="auto" w:line="240" w:before="0" w:after="0"/>
      <w:contextualSpacing w:val="false"/>
    </w:pPr>
    <w:rPr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val="5B9BD5" w:themeColor="accent1"/>
      <w:sz w:val="18"/>
      <w:szCs w:val="18"/>
    </w:rPr>
  </w:style>
  <w:style w:type="paragraph" w:styleId="Style22">
    <w:name w:val="Footnote Text"/>
    <w:basedOn w:val="Normal"/>
    <w:link w:val="Style14"/>
    <w:uiPriority w:val="99"/>
    <w:semiHidden/>
    <w:unhideWhenUsed/>
    <w:qFormat/>
    <w:pPr>
      <w:spacing w:lineRule="auto" w:line="240" w:before="0" w:after="0"/>
      <w:contextualSpacing/>
    </w:pPr>
    <w:rPr>
      <w:sz w:val="18"/>
    </w:rPr>
  </w:style>
  <w:style w:type="paragraph" w:styleId="82">
    <w:name w:val="TOC 8"/>
    <w:basedOn w:val="Normal"/>
    <w:next w:val="Normal"/>
    <w:uiPriority w:val="39"/>
    <w:unhideWhenUsed/>
    <w:qFormat/>
    <w:pPr>
      <w:spacing w:before="0" w:after="57"/>
      <w:ind w:left="1984" w:right="0" w:hanging="0"/>
      <w:contextualSpacing w:val="false"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2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92">
    <w:name w:val="TOC 9"/>
    <w:basedOn w:val="Normal"/>
    <w:next w:val="Normal"/>
    <w:uiPriority w:val="39"/>
    <w:unhideWhenUsed/>
    <w:qFormat/>
    <w:pPr>
      <w:spacing w:before="0" w:after="57"/>
      <w:ind w:left="2268" w:right="0" w:hanging="0"/>
      <w:contextualSpacing w:val="false"/>
    </w:pPr>
    <w:rPr/>
  </w:style>
  <w:style w:type="paragraph" w:styleId="72">
    <w:name w:val="TOC 7"/>
    <w:basedOn w:val="Normal"/>
    <w:next w:val="Normal"/>
    <w:uiPriority w:val="39"/>
    <w:unhideWhenUsed/>
    <w:qFormat/>
    <w:pPr>
      <w:spacing w:before="0" w:after="57"/>
      <w:ind w:left="1701" w:right="0" w:hanging="0"/>
      <w:contextualSpacing w:val="false"/>
    </w:pPr>
    <w:rPr/>
  </w:style>
  <w:style w:type="paragraph" w:styleId="12">
    <w:name w:val="TOC 1"/>
    <w:basedOn w:val="Normal"/>
    <w:next w:val="Normal"/>
    <w:uiPriority w:val="39"/>
    <w:unhideWhenUsed/>
    <w:pPr>
      <w:spacing w:before="0" w:after="57"/>
      <w:contextualSpacing w:val="false"/>
    </w:pPr>
    <w:rPr/>
  </w:style>
  <w:style w:type="paragraph" w:styleId="62">
    <w:name w:val="TOC 6"/>
    <w:basedOn w:val="Normal"/>
    <w:next w:val="Normal"/>
    <w:uiPriority w:val="39"/>
    <w:unhideWhenUsed/>
    <w:qFormat/>
    <w:pPr>
      <w:spacing w:before="0" w:after="57"/>
      <w:ind w:left="1417" w:right="0" w:hanging="0"/>
      <w:contextualSpacing w:val="false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  <w:contextualSpacing w:val="false"/>
    </w:pPr>
    <w:rPr/>
  </w:style>
  <w:style w:type="paragraph" w:styleId="32">
    <w:name w:val="TOC 3"/>
    <w:basedOn w:val="Normal"/>
    <w:next w:val="Normal"/>
    <w:uiPriority w:val="39"/>
    <w:unhideWhenUsed/>
    <w:qFormat/>
    <w:pPr>
      <w:spacing w:before="0" w:after="57"/>
      <w:ind w:left="567" w:right="0" w:hanging="0"/>
      <w:contextualSpacing w:val="false"/>
    </w:pPr>
    <w:rPr/>
  </w:style>
  <w:style w:type="paragraph" w:styleId="24">
    <w:name w:val="TOC 2"/>
    <w:basedOn w:val="Normal"/>
    <w:next w:val="Normal"/>
    <w:uiPriority w:val="39"/>
    <w:unhideWhenUsed/>
    <w:qFormat/>
    <w:pPr>
      <w:spacing w:before="0" w:after="57"/>
      <w:ind w:left="283" w:right="0" w:hanging="0"/>
      <w:contextualSpacing w:val="false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right="0" w:hanging="0"/>
      <w:contextualSpacing w:val="false"/>
    </w:pPr>
    <w:rPr/>
  </w:style>
  <w:style w:type="paragraph" w:styleId="52">
    <w:name w:val="TOC 5"/>
    <w:basedOn w:val="Normal"/>
    <w:next w:val="Normal"/>
    <w:uiPriority w:val="39"/>
    <w:unhideWhenUsed/>
    <w:qFormat/>
    <w:pPr>
      <w:spacing w:before="0" w:after="57"/>
      <w:ind w:left="1134" w:right="0" w:hanging="0"/>
      <w:contextualSpacing w:val="false"/>
    </w:pPr>
    <w:rPr/>
  </w:style>
  <w:style w:type="paragraph" w:styleId="Style25">
    <w:name w:val="Title"/>
    <w:basedOn w:val="Normal"/>
    <w:next w:val="Normal"/>
    <w:link w:val="Style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6">
    <w:name w:val="Footer"/>
    <w:basedOn w:val="Normal"/>
    <w:link w:val="Style1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Style27">
    <w:name w:val="Subtitle"/>
    <w:basedOn w:val="Normal"/>
    <w:next w:val="Normal"/>
    <w:link w:val="Style10"/>
    <w:uiPriority w:val="11"/>
    <w:qFormat/>
    <w:pPr>
      <w:spacing w:before="200" w:after="200"/>
      <w:contextualSpacing w:val="false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3" w:customStyle="1">
    <w:name w:val="Заголовок оглавления1"/>
    <w:uiPriority w:val="39"/>
    <w:unhideWhenUsed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  <w:contextualSpacing w:val="false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ConsPlusNormal" w:customStyle="1">
    <w:name w:val="ConsPlusNormal"/>
    <w:qFormat/>
    <w:pPr>
      <w:widowControl/>
      <w:shd w:val="clear" w:color="000000" w:fill="auto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en-US" w:eastAsia="zh-CN" w:bidi="ar-SA"/>
    </w:rPr>
  </w:style>
  <w:style w:type="paragraph" w:styleId="211" w:customStyle="1">
    <w:name w:val="Основной текст 21"/>
    <w:qFormat/>
    <w:pPr>
      <w:widowControl/>
      <w:shd w:val="clear" w:color="000000" w:fill="auto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Style28">
    <w:name w:val="Содержимое таблицы"/>
    <w:basedOn w:val="Normal"/>
    <w:qFormat/>
    <w:pPr>
      <w:widowControl w:val="false"/>
      <w:suppressLineNumbers/>
      <w:spacing w:lineRule="auto" w:line="240" w:before="0" w:after="0"/>
      <w:contextualSpacing w:val="false"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A6A6A" w:themeColor="tex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8A2D8" w:themeColor="accen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4B184" w:themeColor="accent2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D865" w:themeColor="accent4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val="ACCCEA" w:themeColor="accent1" w:themeTint="80"/>
      </w:rPr>
      <w:tblPr/>
    </w:tblStylePr>
    <w:tblStylePr w:type="firstCol">
      <w:rPr>
        <w:b/>
        <w:color w:val="ACCCEA" w:themeColor="accent1" w:themeTint="80"/>
      </w:rPr>
      <w:tblPr/>
    </w:tblStylePr>
    <w:tblStylePr w:type="lastCol">
      <w:rPr>
        <w:b/>
        <w:color w:val="ACCCEA" w:themeColor="accent1" w:themeTint="80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285" w:themeColor="accent2" w:themeTint="96"/>
      </w:rPr>
      <w:tblPr/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</w:rPr>
      <w:tblPr/>
    </w:tblStylePr>
    <w:tblStylePr w:type="firstCol">
      <w:rPr>
        <w:b/>
        <w:color w:val="A5A5A5" w:themeColor="accent3"/>
      </w:rPr>
      <w:tblPr/>
    </w:tblStylePr>
    <w:tblStylePr w:type="lastCol">
      <w:rPr>
        <w:b/>
        <w:color w:val="A5A5A5" w:themeColor="accent3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966" w:themeColor="accent4" w:themeTint="99"/>
      </w:rPr>
      <w:tblPr/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color="ACCCEA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/>
        <w:sz w:val="22"/>
      </w:rPr>
      <w:tblPr/>
      <w:tcPr>
        <w:tcBorders>
          <w:top w:val="single" w:color="ACCCEA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val="ACCCEA" w:themeColor="accent1" w:themeTint="80"/>
        <w:sz w:val="22"/>
      </w:rPr>
      <w:tblPr/>
      <w:tcPr>
        <w:tcBorders>
          <w:top w:val="nil"/>
          <w:left w:val="single" w:color="ACCCEA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color="95AFDD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44174" w:themeColor="accent5" w:themeShade="94"/>
        <w:sz w:val="22"/>
      </w:rPr>
      <w:tblPr/>
      <w:tcPr>
        <w:tcBorders>
          <w:top w:val="single" w:color="95AFDD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val="244174" w:themeColor="accent5" w:themeShade="94"/>
        <w:sz w:val="22"/>
      </w:rPr>
      <w:tblPr/>
      <w:tcPr>
        <w:tcBorders>
          <w:top w:val="nil"/>
          <w:left w:val="single" w:color="95AFDD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color="ADD394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06429" w:themeColor="accent6" w:themeShade="94"/>
        <w:sz w:val="22"/>
      </w:rPr>
      <w:tblPr/>
      <w:tcPr>
        <w:tcBorders>
          <w:top w:val="single" w:color="ADD394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06429" w:themeColor="accent6" w:themeShade="94"/>
        <w:sz w:val="22"/>
      </w:rPr>
      <w:tblPr/>
      <w:tcPr>
        <w:tcBorders>
          <w:top w:val="nil"/>
          <w:left w:val="single" w:color="ADD394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06429"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06429" w:themeColor="accent6" w:themeShade="94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C" w:themeColor="accent1" w:themeShade="94"/>
      </w:rPr>
      <w:tblPr/>
    </w:tblStylePr>
    <w:tblStylePr w:type="lastCol">
      <w:rPr>
        <w:b/>
        <w:color w:val="245A8C" w:themeColor="accent1" w:themeShade="94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9"/>
      </w:rPr>
      <w:tblPr/>
    </w:tblStylePr>
    <w:tblStylePr w:type="lastCol">
      <w:rPr>
        <w:b/>
        <w:color w:val="C9C9C9" w:themeColor="accent3" w:themeTint="99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val="8EAADB" w:themeColor="accent5" w:themeTint="99"/>
      </w:rPr>
      <w:tblPr/>
    </w:tblStylePr>
    <w:tblStylePr w:type="lastCol">
      <w:rPr>
        <w:b/>
        <w:color w:val="8EAADB" w:themeColor="accent5" w:themeTint="99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8D08D" w:themeColor="accent6" w:themeTint="99"/>
      </w:rPr>
      <w:tblPr/>
    </w:tblStylePr>
    <w:tblStylePr w:type="lastCol">
      <w:rPr>
        <w:b/>
        <w:color w:val="A8D08D" w:themeColor="accent6" w:themeTint="99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A8C"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A8C"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color="C9C9C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</w:rPr>
      <w:tblPr/>
      <w:tcPr>
        <w:tcBorders>
          <w:top w:val="single" w:color="C9C9C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</w:rPr>
      <w:tblPr/>
      <w:tcPr>
        <w:tcBorders>
          <w:top w:val="nil"/>
          <w:left w:val="single" w:color="C9C9C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color="8DA9DB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EAADB" w:themeColor="accent5" w:themeTint="99"/>
        <w:sz w:val="22"/>
      </w:rPr>
      <w:tblPr/>
      <w:tcPr>
        <w:tcBorders>
          <w:top w:val="single" w:color="8DA9DB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val="8EAADB" w:themeColor="accent5" w:themeTint="99"/>
        <w:sz w:val="22"/>
      </w:rPr>
      <w:tblPr/>
      <w:tcPr>
        <w:tcBorders>
          <w:top w:val="nil"/>
          <w:left w:val="single" w:color="8DA9DB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color="A9D08E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8D08D" w:themeColor="accent6" w:themeTint="99"/>
        <w:sz w:val="22"/>
      </w:rPr>
      <w:tblPr/>
      <w:tcPr>
        <w:tcBorders>
          <w:top w:val="single" w:color="A9D08E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8D08D" w:themeColor="accent6" w:themeTint="99"/>
        <w:sz w:val="22"/>
      </w:rPr>
      <w:tblPr/>
      <w:tcPr>
        <w:tcBorders>
          <w:top w:val="nil"/>
          <w:left w:val="single" w:color="A9D08E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5105</TotalTime>
  <Application>LibreOffice/7.5.6.2$Linux_X86_64 LibreOffice_project/50$Build-2</Application>
  <AppVersion>15.0000</AppVersion>
  <Pages>33</Pages>
  <Words>5753</Words>
  <Characters>37910</Characters>
  <CharactersWithSpaces>41959</CharactersWithSpaces>
  <Paragraphs>2243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2024-10-08T10:14:00Z</dcterms:created>
  <dc:creator>LEnovo</dc:creator>
  <dc:description/>
  <dc:language>ru-RU</dc:language>
  <cp:lastModifiedBy/>
  <cp:lastPrinted>2025-01-24T12:16:02Z</cp:lastPrinted>
  <dcterms:modified xsi:type="dcterms:W3CDTF">2025-04-10T16:33:56Z</dcterms:modified>
  <cp:revision>259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91BFF918600043AF9A489FF17D178D42_12</vt:lpwstr>
  </property>
  <property fmtid="{D5CDD505-2E9C-101B-9397-08002B2CF9AE}" pid="3" name="KSOProductBuildVer">
    <vt:lpwstr>1049-12.2.0.18283</vt:lpwstr>
  </property>
</Properties>
</file>