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C2" w:rsidRPr="00BB1EFC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EFC">
        <w:rPr>
          <w:rFonts w:ascii="Times New Roman" w:hAnsi="Times New Roman" w:cs="Times New Roman"/>
          <w:b/>
          <w:sz w:val="28"/>
          <w:szCs w:val="28"/>
        </w:rPr>
        <w:t>Сводный отчёт</w:t>
      </w:r>
    </w:p>
    <w:p w:rsidR="00347CC2" w:rsidRPr="00BB1EFC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EFC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оценки регулирующего воздействия </w:t>
      </w:r>
    </w:p>
    <w:p w:rsidR="00347CC2" w:rsidRPr="00BB1EFC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EFC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347CC2" w:rsidRPr="00BB1EFC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CC2" w:rsidRPr="00BB1EFC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1. Общая информация:</w:t>
      </w:r>
    </w:p>
    <w:p w:rsidR="00347CC2" w:rsidRPr="00BB1EFC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1.1. Орган – разработчик проекта нормативного акта:</w:t>
      </w:r>
    </w:p>
    <w:p w:rsidR="00347CC2" w:rsidRPr="00BB1EFC" w:rsidRDefault="003651F9" w:rsidP="00986213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Управление </w:t>
      </w:r>
      <w:r w:rsidR="00BF49F4" w:rsidRPr="00BB1EFC">
        <w:rPr>
          <w:rFonts w:ascii="Times New Roman" w:hAnsi="Times New Roman" w:cs="Times New Roman"/>
          <w:i/>
          <w:sz w:val="26"/>
          <w:szCs w:val="26"/>
          <w:u w:val="single"/>
        </w:rPr>
        <w:t>АПК и экономического развития района администрации Красногвардейского района</w:t>
      </w:r>
    </w:p>
    <w:p w:rsidR="00347CC2" w:rsidRPr="00BB1EFC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1.2. Вид и наименование проекта нормативного правового акта:</w:t>
      </w:r>
    </w:p>
    <w:p w:rsidR="002B5558" w:rsidRPr="00BB1EFC" w:rsidRDefault="00347CC2" w:rsidP="002B5558">
      <w:pPr>
        <w:pStyle w:val="a6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3651F9" w:rsidRPr="00BB1EFC">
        <w:rPr>
          <w:rFonts w:ascii="Times New Roman" w:hAnsi="Times New Roman" w:cs="Times New Roman"/>
          <w:i/>
          <w:sz w:val="26"/>
          <w:szCs w:val="26"/>
          <w:u w:val="single"/>
        </w:rPr>
        <w:t>Проект постановл</w:t>
      </w:r>
      <w:r w:rsidR="00BF2357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ения администрации Красногвардейского </w:t>
      </w:r>
      <w:r w:rsidR="003651F9" w:rsidRPr="00BB1EFC">
        <w:rPr>
          <w:rFonts w:ascii="Times New Roman" w:hAnsi="Times New Roman" w:cs="Times New Roman"/>
          <w:i/>
          <w:sz w:val="26"/>
          <w:szCs w:val="26"/>
          <w:u w:val="single"/>
        </w:rPr>
        <w:t>района</w:t>
      </w:r>
      <w:r w:rsidR="002B5558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«Об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Красногвардейского района»</w:t>
      </w:r>
    </w:p>
    <w:p w:rsidR="00BF2357" w:rsidRPr="00BB1EFC" w:rsidRDefault="00BF2357" w:rsidP="002B5558">
      <w:pPr>
        <w:pStyle w:val="3"/>
        <w:spacing w:after="0"/>
        <w:jc w:val="both"/>
        <w:rPr>
          <w:b/>
          <w:i/>
          <w:sz w:val="26"/>
          <w:szCs w:val="26"/>
          <w:u w:val="single"/>
        </w:rPr>
      </w:pPr>
    </w:p>
    <w:p w:rsidR="00A46416" w:rsidRPr="00BB1EFC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 xml:space="preserve">1.3. </w:t>
      </w:r>
      <w:r w:rsidR="00A46416" w:rsidRPr="00BB1EFC">
        <w:rPr>
          <w:rFonts w:ascii="Times New Roman" w:hAnsi="Times New Roman" w:cs="Times New Roman"/>
          <w:b/>
          <w:sz w:val="26"/>
          <w:szCs w:val="26"/>
        </w:rPr>
        <w:t>Сроки проведения публичного обсуждения проекта нормативного правового акта:</w:t>
      </w:r>
    </w:p>
    <w:p w:rsidR="00A46416" w:rsidRPr="00BB1EFC" w:rsidRDefault="003651F9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Начало: </w:t>
      </w:r>
      <w:r w:rsidR="00ED1BF9" w:rsidRPr="00BB1EFC">
        <w:rPr>
          <w:rFonts w:ascii="Times New Roman" w:hAnsi="Times New Roman" w:cs="Times New Roman"/>
          <w:i/>
          <w:sz w:val="26"/>
          <w:szCs w:val="26"/>
          <w:u w:val="single"/>
        </w:rPr>
        <w:t>«</w:t>
      </w:r>
      <w:r w:rsidR="00A21E66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17» апреля </w:t>
      </w:r>
      <w:r w:rsidR="00A46416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202</w:t>
      </w:r>
      <w:r w:rsidR="00ED1BF9" w:rsidRPr="00BB1EFC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="00A46416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г.,</w:t>
      </w:r>
    </w:p>
    <w:p w:rsidR="00BF2357" w:rsidRPr="00BB1EFC" w:rsidRDefault="00ED1BF9" w:rsidP="005D2B3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Окончание: «</w:t>
      </w:r>
      <w:r w:rsidR="00A21E66" w:rsidRPr="00BB1EFC">
        <w:rPr>
          <w:rFonts w:ascii="Times New Roman" w:hAnsi="Times New Roman" w:cs="Times New Roman"/>
          <w:i/>
          <w:sz w:val="26"/>
          <w:szCs w:val="26"/>
          <w:u w:val="single"/>
        </w:rPr>
        <w:t>26</w:t>
      </w:r>
      <w:r w:rsidR="00A46416" w:rsidRPr="00BB1EFC">
        <w:rPr>
          <w:rFonts w:ascii="Times New Roman" w:hAnsi="Times New Roman" w:cs="Times New Roman"/>
          <w:i/>
          <w:sz w:val="26"/>
          <w:szCs w:val="26"/>
          <w:u w:val="single"/>
        </w:rPr>
        <w:t>»</w:t>
      </w:r>
      <w:r w:rsidR="00A21E66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апреля </w:t>
      </w:r>
      <w:r w:rsidR="00A46416" w:rsidRPr="00BB1EFC">
        <w:rPr>
          <w:rFonts w:ascii="Times New Roman" w:hAnsi="Times New Roman" w:cs="Times New Roman"/>
          <w:i/>
          <w:sz w:val="26"/>
          <w:szCs w:val="26"/>
          <w:u w:val="single"/>
        </w:rPr>
        <w:t>202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="00A46416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</w:t>
      </w:r>
    </w:p>
    <w:p w:rsidR="005D2B33" w:rsidRPr="00BB1EFC" w:rsidRDefault="005D2B33" w:rsidP="005D2B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6416" w:rsidRPr="00BB1EFC" w:rsidRDefault="00A46416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1.4 Степень регулирующего воздействия проекта нормативного правового акта</w:t>
      </w:r>
      <w:r w:rsidR="00D1467C" w:rsidRPr="00BB1EFC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1467C" w:rsidRPr="00BB1EFC">
        <w:rPr>
          <w:rFonts w:ascii="Times New Roman" w:hAnsi="Times New Roman" w:cs="Times New Roman"/>
          <w:i/>
          <w:sz w:val="26"/>
          <w:szCs w:val="26"/>
          <w:u w:val="single"/>
        </w:rPr>
        <w:t>средняя,</w:t>
      </w:r>
      <w:r w:rsidR="00D1467C" w:rsidRPr="00BB1EF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371500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так, </w:t>
      </w:r>
      <w:r w:rsidR="003426AD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как проект постановления содержит положения, устанавливающие новые границы прилегающих территорий, на которых не допускается розничная продажа алкогольной продукции  и розничная   продажа алкогольной продукции при оказании услуг общественного питания и изменяющие ранее предусмотренные границы прилегающих территорий, проектом постановления будет установлен четкий порядок определения границ прилегающих территорий </w:t>
      </w:r>
      <w:r w:rsidR="00B91409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с учетом всех заинтересованных лиц: предпринимателей, общественности и населения. </w:t>
      </w:r>
      <w:r w:rsidR="003651F9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A46416" w:rsidRPr="00BB1EFC" w:rsidRDefault="00D1467C" w:rsidP="00347CC2">
      <w:pPr>
        <w:jc w:val="both"/>
        <w:rPr>
          <w:rFonts w:ascii="Times New Roman" w:hAnsi="Times New Roman" w:cs="Times New Roman"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 xml:space="preserve">1.5 </w:t>
      </w:r>
      <w:r w:rsidR="00A46416" w:rsidRPr="00BB1EFC">
        <w:rPr>
          <w:rFonts w:ascii="Times New Roman" w:hAnsi="Times New Roman" w:cs="Times New Roman"/>
          <w:b/>
          <w:sz w:val="26"/>
          <w:szCs w:val="26"/>
        </w:rPr>
        <w:t>Контактная информация исполнителя в органе-разработчике</w:t>
      </w:r>
      <w:r w:rsidR="00A46416" w:rsidRPr="00BB1EFC">
        <w:rPr>
          <w:rFonts w:ascii="Times New Roman" w:hAnsi="Times New Roman" w:cs="Times New Roman"/>
          <w:sz w:val="26"/>
          <w:szCs w:val="26"/>
        </w:rPr>
        <w:t>:</w:t>
      </w:r>
    </w:p>
    <w:p w:rsidR="00A46416" w:rsidRPr="00BB1EFC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Ф.И.О.:</w:t>
      </w:r>
      <w:r w:rsidR="001021E7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Соловьев Геннадий Александрович</w:t>
      </w:r>
    </w:p>
    <w:p w:rsidR="00A46416" w:rsidRPr="00BB1EFC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Должность: начальник</w:t>
      </w:r>
      <w:r w:rsidR="001021E7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отдела потребительского рынка и предпринимательства управления АПК и экономического развития района администрации Красногвардейского района</w:t>
      </w:r>
    </w:p>
    <w:p w:rsidR="00A46416" w:rsidRPr="00BB1EFC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Телефон: </w:t>
      </w:r>
      <w:r w:rsidR="001021E7" w:rsidRPr="00BB1EFC">
        <w:rPr>
          <w:rFonts w:ascii="Times New Roman" w:hAnsi="Times New Roman" w:cs="Times New Roman"/>
          <w:i/>
          <w:sz w:val="26"/>
          <w:szCs w:val="26"/>
          <w:u w:val="single"/>
        </w:rPr>
        <w:t>(47247</w:t>
      </w:r>
      <w:r w:rsidR="003651F9" w:rsidRPr="00BB1EFC">
        <w:rPr>
          <w:rFonts w:ascii="Times New Roman" w:hAnsi="Times New Roman" w:cs="Times New Roman"/>
          <w:i/>
          <w:sz w:val="26"/>
          <w:szCs w:val="26"/>
          <w:u w:val="single"/>
        </w:rPr>
        <w:t>)</w:t>
      </w:r>
      <w:r w:rsidR="001021E7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3-24-38</w:t>
      </w:r>
    </w:p>
    <w:p w:rsidR="00B91409" w:rsidRPr="00BB1EFC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Адрес электронной почты:</w:t>
      </w:r>
      <w:r w:rsidR="009B0D09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proofErr w:type="spellStart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Solovev</w:t>
      </w:r>
      <w:proofErr w:type="spellEnd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_</w:t>
      </w:r>
      <w:proofErr w:type="spellStart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ga</w:t>
      </w:r>
      <w:proofErr w:type="spellEnd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@</w:t>
      </w:r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kg</w:t>
      </w:r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.</w:t>
      </w:r>
      <w:proofErr w:type="spellStart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belregion</w:t>
      </w:r>
      <w:proofErr w:type="spellEnd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.</w:t>
      </w:r>
      <w:proofErr w:type="spellStart"/>
      <w:r w:rsidR="00E57591" w:rsidRPr="00BB1EFC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ru</w:t>
      </w:r>
      <w:proofErr w:type="spellEnd"/>
    </w:p>
    <w:p w:rsidR="00A46416" w:rsidRPr="00BB1EFC" w:rsidRDefault="009B0D09" w:rsidP="009862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1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6416" w:rsidRPr="00BB1EFC" w:rsidRDefault="00A46416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2. Описание проблемы на решение которой направлено вводимое правовое регулирование:</w:t>
      </w:r>
    </w:p>
    <w:p w:rsidR="00B91409" w:rsidRPr="00BB1EFC" w:rsidRDefault="00A46416" w:rsidP="00B91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 xml:space="preserve">2.1 </w:t>
      </w:r>
      <w:r w:rsidR="002A6027" w:rsidRPr="00BB1EFC">
        <w:rPr>
          <w:rFonts w:ascii="Times New Roman" w:hAnsi="Times New Roman" w:cs="Times New Roman"/>
          <w:b/>
          <w:sz w:val="26"/>
          <w:szCs w:val="26"/>
        </w:rPr>
        <w:t>Проблемы, на решение которой направлен предлагаемый способ правового регулирования</w:t>
      </w:r>
      <w:r w:rsidR="002A6027" w:rsidRPr="00BB1EF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91409" w:rsidRPr="00BB1EFC" w:rsidRDefault="00B91409" w:rsidP="00B91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Федеральным законодательством расширен перечень объектов, на прилегающих территориях к которым не допyскается розничная продажа алкогольной продyкции и розничная продажа алкогольной продукции при оказании усл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yг общественного питания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, устанавливающего границы прилегающих территорий, на которых не допускается </w:t>
      </w:r>
      <w:r w:rsidR="00682708" w:rsidRPr="00BB1EFC">
        <w:rPr>
          <w:rFonts w:ascii="Times New Roman" w:hAnsi="Times New Roman" w:cs="Times New Roman"/>
          <w:i/>
          <w:sz w:val="26"/>
          <w:szCs w:val="26"/>
          <w:u w:val="single"/>
        </w:rPr>
        <w:t>розничная продажа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ка а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когольной пролукции и розничная продажа а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когольной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про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д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yкции при оказании ус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yг обществsнного питания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.</w:t>
      </w:r>
    </w:p>
    <w:p w:rsidR="00761EAA" w:rsidRPr="00BB1EFC" w:rsidRDefault="00E562A2" w:rsidP="00B91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Данный способ решения проблемы </w:t>
      </w:r>
      <w:r w:rsidR="00761EAA" w:rsidRPr="00BB1EFC">
        <w:rPr>
          <w:rFonts w:ascii="Times New Roman" w:hAnsi="Times New Roman" w:cs="Times New Roman"/>
          <w:i/>
          <w:sz w:val="26"/>
          <w:szCs w:val="26"/>
          <w:u w:val="single"/>
        </w:rPr>
        <w:t>позволит установить четкий порядок определения границ прилегающих территорий, с учетом мнения всех заинтересованных лиц: предпринимателей, общественности и населения.</w:t>
      </w:r>
    </w:p>
    <w:p w:rsidR="00942938" w:rsidRPr="00BB1EFC" w:rsidRDefault="00942938" w:rsidP="00B9140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562A2" w:rsidRPr="00BB1EFC" w:rsidRDefault="002A6027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2.2 Информация о возникновении и выявлении проблемы</w:t>
      </w:r>
      <w:r w:rsidR="00E562A2" w:rsidRPr="00BB1EFC">
        <w:rPr>
          <w:rFonts w:ascii="Times New Roman" w:hAnsi="Times New Roman" w:cs="Times New Roman"/>
          <w:sz w:val="26"/>
          <w:szCs w:val="26"/>
        </w:rPr>
        <w:t xml:space="preserve">: </w:t>
      </w:r>
      <w:r w:rsidR="00E562A2" w:rsidRPr="00BB1EFC">
        <w:rPr>
          <w:rFonts w:ascii="Times New Roman" w:hAnsi="Times New Roman" w:cs="Times New Roman"/>
          <w:i/>
          <w:sz w:val="26"/>
          <w:szCs w:val="26"/>
          <w:u w:val="single"/>
        </w:rPr>
        <w:t>Изменение действующего законодательства и утверждение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розничная продажа алкогольной продукции при оказании услуг общественного питания:</w:t>
      </w:r>
    </w:p>
    <w:p w:rsidR="00E562A2" w:rsidRPr="00BB1EFC" w:rsidRDefault="00E562A2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- Федеральный закон от 24.04.2020 года № 145-ФЗ "О внесении изменений в статью 16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proofErr w:type="spellStart"/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растипия</w:t>
      </w:r>
      <w:proofErr w:type="spellEnd"/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) алкогольной продукции";</w:t>
      </w:r>
    </w:p>
    <w:p w:rsidR="002A6027" w:rsidRPr="00BB1EFC" w:rsidRDefault="00E562A2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- Постановление Правительства РФ от 23.02.2020 года № 2220 "Об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 </w:t>
      </w:r>
    </w:p>
    <w:p w:rsidR="002A6027" w:rsidRPr="00BB1EFC" w:rsidRDefault="002A6027" w:rsidP="00FD030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2.3 Негативные эффекты, возникающие в связи с наличием рассматриваемой  проблемы</w:t>
      </w:r>
      <w:r w:rsidRPr="00BB1EFC">
        <w:rPr>
          <w:rFonts w:ascii="Times New Roman" w:hAnsi="Times New Roman" w:cs="Times New Roman"/>
          <w:sz w:val="26"/>
          <w:szCs w:val="26"/>
        </w:rPr>
        <w:t xml:space="preserve">: </w:t>
      </w:r>
      <w:r w:rsidR="00FD0308" w:rsidRPr="00BB1EFC">
        <w:rPr>
          <w:rFonts w:ascii="Times New Roman" w:hAnsi="Times New Roman" w:cs="Times New Roman"/>
          <w:i/>
          <w:sz w:val="26"/>
          <w:szCs w:val="26"/>
          <w:u w:val="single"/>
        </w:rPr>
        <w:t>Нет</w:t>
      </w:r>
    </w:p>
    <w:p w:rsidR="00FD0308" w:rsidRPr="00BB1EFC" w:rsidRDefault="00FD0308" w:rsidP="00FD03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2A6027" w:rsidRPr="00BB1EFC" w:rsidRDefault="002A6027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3 Цели вводимого правового регулирования и измеримые показатели их достижения:</w:t>
      </w:r>
    </w:p>
    <w:p w:rsidR="00F8023E" w:rsidRPr="00BB1EFC" w:rsidRDefault="002A6027" w:rsidP="00F8023E">
      <w:pPr>
        <w:pStyle w:val="3"/>
        <w:spacing w:after="0"/>
        <w:jc w:val="both"/>
        <w:rPr>
          <w:i/>
          <w:sz w:val="26"/>
          <w:szCs w:val="26"/>
          <w:u w:val="single"/>
        </w:rPr>
      </w:pPr>
      <w:r w:rsidRPr="00BB1EFC">
        <w:rPr>
          <w:b/>
          <w:sz w:val="26"/>
          <w:szCs w:val="26"/>
        </w:rPr>
        <w:t>3.1 Описание целей предлагаемого правового регулирования:</w:t>
      </w:r>
      <w:r w:rsidR="00F8023E" w:rsidRPr="00BB1EFC">
        <w:rPr>
          <w:sz w:val="26"/>
          <w:szCs w:val="26"/>
        </w:rPr>
        <w:t xml:space="preserve"> </w:t>
      </w:r>
      <w:r w:rsidR="00893837" w:rsidRPr="00BB1EFC">
        <w:rPr>
          <w:i/>
          <w:sz w:val="26"/>
          <w:szCs w:val="26"/>
          <w:u w:val="single"/>
        </w:rPr>
        <w:t>установление границ прилегающих территорий для ограничения нелегальных продаж алкогольной продукции.</w:t>
      </w:r>
    </w:p>
    <w:p w:rsidR="00333C1A" w:rsidRPr="00BB1EFC" w:rsidRDefault="00333C1A" w:rsidP="00DF51C8">
      <w:pPr>
        <w:pStyle w:val="3"/>
        <w:spacing w:after="0"/>
        <w:jc w:val="both"/>
        <w:rPr>
          <w:sz w:val="26"/>
          <w:szCs w:val="26"/>
        </w:rPr>
      </w:pPr>
    </w:p>
    <w:p w:rsidR="001308C0" w:rsidRPr="00BB1EFC" w:rsidRDefault="002A6027" w:rsidP="001308C0">
      <w:pPr>
        <w:pStyle w:val="3"/>
        <w:spacing w:after="0"/>
        <w:jc w:val="both"/>
        <w:rPr>
          <w:i/>
          <w:sz w:val="26"/>
          <w:szCs w:val="26"/>
          <w:u w:val="single"/>
        </w:rPr>
      </w:pPr>
      <w:r w:rsidRPr="00BB1EFC">
        <w:rPr>
          <w:b/>
          <w:sz w:val="26"/>
          <w:szCs w:val="26"/>
        </w:rPr>
        <w:t xml:space="preserve">3.2 </w:t>
      </w:r>
      <w:r w:rsidR="00B55ECD" w:rsidRPr="00BB1EFC">
        <w:rPr>
          <w:b/>
          <w:sz w:val="26"/>
          <w:szCs w:val="26"/>
        </w:rPr>
        <w:t>Обоснование соответствия целей предлагаемого правового регулирования принципам правового регулирования</w:t>
      </w:r>
      <w:r w:rsidR="00B55ECD" w:rsidRPr="00BB1EFC">
        <w:rPr>
          <w:sz w:val="26"/>
          <w:szCs w:val="26"/>
        </w:rPr>
        <w:t>:</w:t>
      </w:r>
      <w:r w:rsidR="001308C0" w:rsidRPr="00BB1EFC">
        <w:rPr>
          <w:sz w:val="26"/>
          <w:szCs w:val="26"/>
        </w:rPr>
        <w:t xml:space="preserve"> </w:t>
      </w:r>
      <w:r w:rsidR="00F8023E" w:rsidRPr="00BB1EFC">
        <w:rPr>
          <w:i/>
          <w:sz w:val="28"/>
          <w:szCs w:val="28"/>
          <w:u w:val="single"/>
        </w:rPr>
        <w:t>Проект нормативного правового акта разработан в целях реализации положений пункта 8 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соответствии с федеральными законами от 21 июля 2014 года  № 212-ФЗ «Об основах общественного контроля в Российской Федерации», от 06 октября 2003 года № 131-ФЗ «Об общих принципах организации местного самоуправле</w:t>
      </w:r>
      <w:r w:rsidR="008D7CEE" w:rsidRPr="00BB1EFC">
        <w:rPr>
          <w:i/>
          <w:sz w:val="28"/>
          <w:szCs w:val="28"/>
          <w:u w:val="single"/>
        </w:rPr>
        <w:t xml:space="preserve">ния в Российской Федерации», </w:t>
      </w:r>
      <w:r w:rsidR="008D7CEE" w:rsidRPr="00BB1EFC">
        <w:rPr>
          <w:i/>
          <w:sz w:val="28"/>
          <w:szCs w:val="28"/>
          <w:u w:val="single"/>
        </w:rPr>
        <w:lastRenderedPageBreak/>
        <w:t xml:space="preserve">на </w:t>
      </w:r>
      <w:r w:rsidR="00F8023E" w:rsidRPr="00BB1EFC">
        <w:rPr>
          <w:i/>
          <w:sz w:val="28"/>
          <w:szCs w:val="28"/>
          <w:u w:val="single"/>
        </w:rPr>
        <w:t xml:space="preserve">основании Устава Красногвардейского района администрация Красногвардейского района           </w:t>
      </w:r>
    </w:p>
    <w:p w:rsidR="00333C1A" w:rsidRPr="00BB1EFC" w:rsidRDefault="00333C1A" w:rsidP="00DF51C8">
      <w:pPr>
        <w:pStyle w:val="3"/>
        <w:spacing w:after="0"/>
        <w:jc w:val="both"/>
        <w:rPr>
          <w:sz w:val="26"/>
          <w:szCs w:val="26"/>
          <w:highlight w:val="yellow"/>
          <w:u w:val="single"/>
        </w:rPr>
      </w:pPr>
    </w:p>
    <w:p w:rsidR="002A6027" w:rsidRPr="00BB1EFC" w:rsidRDefault="00B55ECD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3.3 Сроки достижения целей предлагаемого правового регулирования:</w:t>
      </w:r>
      <w:r w:rsidRPr="00BB1EFC">
        <w:rPr>
          <w:rFonts w:ascii="Times New Roman" w:hAnsi="Times New Roman" w:cs="Times New Roman"/>
          <w:sz w:val="26"/>
          <w:szCs w:val="26"/>
        </w:rPr>
        <w:t xml:space="preserve"> </w:t>
      </w:r>
      <w:r w:rsidR="00F9559A" w:rsidRPr="00BB1EFC">
        <w:rPr>
          <w:rFonts w:ascii="Times New Roman" w:hAnsi="Times New Roman" w:cs="Times New Roman"/>
          <w:i/>
          <w:sz w:val="26"/>
          <w:szCs w:val="26"/>
          <w:u w:val="single"/>
        </w:rPr>
        <w:t>Со дня официального опубликования постановления администрации му</w:t>
      </w:r>
      <w:r w:rsidR="00DA2179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ниципального района Красногвардейский </w:t>
      </w:r>
      <w:r w:rsidR="00F9559A" w:rsidRPr="00BB1EFC">
        <w:rPr>
          <w:rFonts w:ascii="Times New Roman" w:hAnsi="Times New Roman" w:cs="Times New Roman"/>
          <w:i/>
          <w:sz w:val="26"/>
          <w:szCs w:val="26"/>
          <w:u w:val="single"/>
        </w:rPr>
        <w:t>район</w:t>
      </w:r>
    </w:p>
    <w:p w:rsidR="00DF51C8" w:rsidRPr="00BB1EFC" w:rsidRDefault="00B55ECD" w:rsidP="00347CC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3.4 Иная информация о целях предлагаемого правового регулирования</w:t>
      </w:r>
      <w:r w:rsidRPr="00BB1EFC">
        <w:rPr>
          <w:rFonts w:ascii="Times New Roman" w:hAnsi="Times New Roman" w:cs="Times New Roman"/>
          <w:sz w:val="26"/>
          <w:szCs w:val="26"/>
        </w:rPr>
        <w:t xml:space="preserve">: </w:t>
      </w:r>
      <w:r w:rsidR="00DF51C8" w:rsidRPr="00BB1EFC">
        <w:rPr>
          <w:rFonts w:ascii="Times New Roman" w:hAnsi="Times New Roman" w:cs="Times New Roman"/>
          <w:i/>
          <w:sz w:val="26"/>
          <w:szCs w:val="26"/>
          <w:u w:val="single"/>
        </w:rPr>
        <w:t>отсутствует</w:t>
      </w:r>
    </w:p>
    <w:p w:rsidR="00B55ECD" w:rsidRPr="00BB1EFC" w:rsidRDefault="00B55ECD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</w:t>
      </w:r>
      <w:r w:rsidR="00F9559A" w:rsidRPr="00BB1EFC">
        <w:rPr>
          <w:rFonts w:ascii="Times New Roman" w:hAnsi="Times New Roman" w:cs="Times New Roman"/>
          <w:b/>
          <w:sz w:val="26"/>
          <w:szCs w:val="26"/>
        </w:rPr>
        <w:t>.</w:t>
      </w:r>
      <w:r w:rsidRPr="00BB1EFC">
        <w:rPr>
          <w:rFonts w:ascii="Times New Roman" w:hAnsi="Times New Roman" w:cs="Times New Roman"/>
          <w:b/>
          <w:sz w:val="26"/>
          <w:szCs w:val="26"/>
        </w:rPr>
        <w:t xml:space="preserve"> Описание предлагаемого правового регулирования:</w:t>
      </w:r>
    </w:p>
    <w:p w:rsidR="00B55ECD" w:rsidRPr="00BB1EFC" w:rsidRDefault="00B55ECD" w:rsidP="001F1ADD">
      <w:pPr>
        <w:pStyle w:val="a6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4.1 Описание предлагаемого способа решения проблемы и преодоления, связанных с ней негативных эффектов</w:t>
      </w:r>
      <w:r w:rsidRPr="00BB1EFC">
        <w:rPr>
          <w:rFonts w:ascii="Times New Roman" w:hAnsi="Times New Roman" w:cs="Times New Roman"/>
          <w:sz w:val="26"/>
          <w:szCs w:val="26"/>
        </w:rPr>
        <w:t>:</w:t>
      </w:r>
      <w:r w:rsidR="00F9559A" w:rsidRPr="00BB1EFC">
        <w:rPr>
          <w:rFonts w:ascii="Times New Roman" w:hAnsi="Times New Roman" w:cs="Times New Roman"/>
          <w:sz w:val="26"/>
          <w:szCs w:val="26"/>
        </w:rPr>
        <w:t xml:space="preserve"> </w:t>
      </w:r>
      <w:r w:rsidR="00F9559A" w:rsidRPr="00BB1EFC">
        <w:rPr>
          <w:rFonts w:ascii="Times New Roman" w:hAnsi="Times New Roman" w:cs="Times New Roman"/>
          <w:i/>
          <w:sz w:val="26"/>
          <w:szCs w:val="26"/>
          <w:u w:val="single"/>
        </w:rPr>
        <w:t>Принятие проекта п</w:t>
      </w:r>
      <w:r w:rsidR="00F26615" w:rsidRPr="00BB1EFC">
        <w:rPr>
          <w:rFonts w:ascii="Times New Roman" w:hAnsi="Times New Roman" w:cs="Times New Roman"/>
          <w:i/>
          <w:sz w:val="26"/>
          <w:szCs w:val="26"/>
          <w:u w:val="single"/>
        </w:rPr>
        <w:t>остановления администрации Красногвардейского района, оп</w:t>
      </w:r>
      <w:r w:rsidR="00D32F37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ределяющего </w:t>
      </w:r>
      <w:r w:rsidR="001F1ADD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порядок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Красногвардейского района» </w:t>
      </w:r>
      <w:r w:rsidR="00D32F37" w:rsidRPr="00BB1EFC">
        <w:rPr>
          <w:rFonts w:ascii="Times New Roman" w:hAnsi="Times New Roman" w:cs="Times New Roman"/>
          <w:i/>
          <w:sz w:val="26"/>
          <w:szCs w:val="26"/>
          <w:u w:val="single"/>
        </w:rPr>
        <w:t>с учетом изменений действующего законодательства и утверждения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387924" w:rsidRPr="00BB1EFC" w:rsidRDefault="00387924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1CB5" w:rsidRPr="00BB1EFC" w:rsidRDefault="00D31CB5" w:rsidP="00347CC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4.2 Альтернативные варианты решения проблемы</w:t>
      </w:r>
      <w:r w:rsidRPr="00BB1EFC">
        <w:rPr>
          <w:rFonts w:ascii="Times New Roman" w:hAnsi="Times New Roman" w:cs="Times New Roman"/>
          <w:sz w:val="26"/>
          <w:szCs w:val="26"/>
        </w:rPr>
        <w:t xml:space="preserve">: </w:t>
      </w:r>
      <w:r w:rsidRPr="00BB1EFC">
        <w:rPr>
          <w:rFonts w:ascii="Times New Roman" w:hAnsi="Times New Roman" w:cs="Times New Roman"/>
          <w:sz w:val="26"/>
          <w:szCs w:val="26"/>
          <w:u w:val="single"/>
        </w:rPr>
        <w:t>не предполагаются</w:t>
      </w:r>
    </w:p>
    <w:p w:rsidR="00D507A4" w:rsidRPr="00BB1EFC" w:rsidRDefault="00D31CB5" w:rsidP="00D507A4">
      <w:pPr>
        <w:pStyle w:val="a6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4.3 Обоснование выбора предлагаемого способа решения проблемы</w:t>
      </w:r>
      <w:r w:rsidRPr="00BB1EFC">
        <w:rPr>
          <w:rFonts w:ascii="Times New Roman" w:hAnsi="Times New Roman" w:cs="Times New Roman"/>
          <w:sz w:val="26"/>
          <w:szCs w:val="26"/>
        </w:rPr>
        <w:t>:</w:t>
      </w:r>
      <w:r w:rsidRPr="00BB1EFC">
        <w:rPr>
          <w:sz w:val="26"/>
          <w:szCs w:val="26"/>
          <w:u w:val="single"/>
        </w:rPr>
        <w:t xml:space="preserve"> </w:t>
      </w:r>
      <w:r w:rsidR="00F27AF6" w:rsidRPr="00BB1EFC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Оптимальным способом решения </w:t>
      </w:r>
      <w:r w:rsidR="00105E1B" w:rsidRPr="00BB1EFC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проблемы </w:t>
      </w:r>
      <w:r w:rsidR="00D507A4" w:rsidRPr="00BB1EFC">
        <w:rPr>
          <w:rFonts w:ascii="Times New Roman" w:eastAsia="Calibri" w:hAnsi="Times New Roman" w:cs="Times New Roman"/>
          <w:i/>
          <w:sz w:val="28"/>
          <w:szCs w:val="28"/>
          <w:u w:val="single"/>
        </w:rPr>
        <w:t>счи</w:t>
      </w:r>
      <w:r w:rsidR="00F27AF6" w:rsidRPr="00BB1EFC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тается принятие предполагаемого </w:t>
      </w:r>
      <w:r w:rsidR="000B57F6" w:rsidRPr="00BB1EFC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проекта постановления </w:t>
      </w:r>
      <w:r w:rsidR="00D507A4" w:rsidRPr="00BB1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администрации Красногвардейского района </w:t>
      </w:r>
      <w:r w:rsidR="00387924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«Об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Красногвардейского района», </w:t>
      </w:r>
      <w:r w:rsidR="000B57F6" w:rsidRPr="00BB1EFC">
        <w:rPr>
          <w:rFonts w:ascii="Times New Roman" w:hAnsi="Times New Roman" w:cs="Times New Roman"/>
          <w:i/>
          <w:sz w:val="28"/>
          <w:szCs w:val="28"/>
          <w:u w:val="single"/>
        </w:rPr>
        <w:t>который позволит устано</w:t>
      </w:r>
      <w:r w:rsidR="00105E1B" w:rsidRPr="00BB1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вить четкий порядок </w:t>
      </w:r>
      <w:r w:rsidR="00387924" w:rsidRPr="00BB1EF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проведения общественных обсуждений по </w:t>
      </w:r>
      <w:r w:rsidR="00105E1B" w:rsidRPr="00BB1EFC">
        <w:rPr>
          <w:rFonts w:ascii="Times New Roman" w:hAnsi="Times New Roman" w:cs="Times New Roman"/>
          <w:i/>
          <w:sz w:val="28"/>
          <w:szCs w:val="28"/>
          <w:u w:val="single"/>
        </w:rPr>
        <w:t>определени</w:t>
      </w:r>
      <w:r w:rsidR="00387924" w:rsidRPr="00BB1EFC">
        <w:rPr>
          <w:rFonts w:ascii="Times New Roman" w:hAnsi="Times New Roman" w:cs="Times New Roman"/>
          <w:i/>
          <w:sz w:val="28"/>
          <w:szCs w:val="28"/>
          <w:u w:val="single"/>
        </w:rPr>
        <w:t>ю</w:t>
      </w:r>
      <w:r w:rsidR="00105E1B" w:rsidRPr="00BB1EFC">
        <w:rPr>
          <w:rFonts w:ascii="Times New Roman" w:hAnsi="Times New Roman" w:cs="Times New Roman"/>
          <w:i/>
          <w:sz w:val="28"/>
          <w:szCs w:val="28"/>
          <w:u w:val="single"/>
        </w:rPr>
        <w:t xml:space="preserve"> границ прилегающих территорий с учетом мнения всех заинтересованных лиц: индивидуальных предпринимателей, общественности и населения.</w:t>
      </w:r>
    </w:p>
    <w:p w:rsidR="00333C1A" w:rsidRPr="00BB1EFC" w:rsidRDefault="00333C1A" w:rsidP="00F9559A">
      <w:pPr>
        <w:pStyle w:val="3"/>
        <w:spacing w:after="0"/>
        <w:jc w:val="both"/>
        <w:rPr>
          <w:sz w:val="26"/>
          <w:szCs w:val="26"/>
        </w:rPr>
      </w:pPr>
    </w:p>
    <w:p w:rsidR="00F9559A" w:rsidRPr="00BB1EFC" w:rsidRDefault="00D31CB5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4.4 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</w:r>
    </w:p>
    <w:p w:rsidR="00A46416" w:rsidRPr="00BB1EFC" w:rsidRDefault="00F9559A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Юридические лица, </w:t>
      </w:r>
      <w:r w:rsidR="0052244C" w:rsidRPr="00BB1EFC">
        <w:rPr>
          <w:rFonts w:ascii="Times New Roman" w:hAnsi="Times New Roman" w:cs="Times New Roman"/>
          <w:i/>
          <w:sz w:val="26"/>
          <w:szCs w:val="26"/>
          <w:u w:val="single"/>
        </w:rPr>
        <w:t>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6946"/>
      </w:tblGrid>
      <w:tr w:rsidR="00F9559A" w:rsidRPr="00BB1EFC" w:rsidTr="00B87222">
        <w:trPr>
          <w:trHeight w:val="510"/>
        </w:trPr>
        <w:tc>
          <w:tcPr>
            <w:tcW w:w="2552" w:type="dxa"/>
          </w:tcPr>
          <w:p w:rsidR="00F9559A" w:rsidRPr="00BB1EFC" w:rsidRDefault="00F9559A" w:rsidP="005A0AF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lastRenderedPageBreak/>
              <w:t>Группа участников отношений</w:t>
            </w:r>
          </w:p>
        </w:tc>
        <w:tc>
          <w:tcPr>
            <w:tcW w:w="6946" w:type="dxa"/>
          </w:tcPr>
          <w:p w:rsidR="00F9559A" w:rsidRPr="00BB1EFC" w:rsidRDefault="00F9559A" w:rsidP="005A0A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Оценка количества участников отношений</w:t>
            </w:r>
          </w:p>
        </w:tc>
      </w:tr>
      <w:tr w:rsidR="00F9559A" w:rsidRPr="00BB1EFC" w:rsidTr="00B87222">
        <w:trPr>
          <w:trHeight w:val="1078"/>
        </w:trPr>
        <w:tc>
          <w:tcPr>
            <w:tcW w:w="2552" w:type="dxa"/>
          </w:tcPr>
          <w:p w:rsidR="00F9559A" w:rsidRPr="00BB1EFC" w:rsidRDefault="0052244C" w:rsidP="00DF51C8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 </w:t>
            </w:r>
          </w:p>
        </w:tc>
        <w:tc>
          <w:tcPr>
            <w:tcW w:w="6946" w:type="dxa"/>
          </w:tcPr>
          <w:p w:rsidR="000909A7" w:rsidRPr="00BB1EFC" w:rsidRDefault="007C52C7" w:rsidP="00C20CF7">
            <w:pPr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Красногвардейского </w:t>
            </w:r>
            <w:r w:rsidR="0052244C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района розничную продажу алкогольной продукции </w:t>
            </w:r>
            <w:r w:rsidR="008C3649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в торговых объектах и объектах общественного питания осуществляют 96 организаций (индивидуальных предпринимателей) в 120 объектах торговли и общественного питания, в том числе: розничную продукцию алкогольной продукции - 90 организаций (индивидуальных предпринимателей), в 110 торговых объектах; розничную продажу алкогольной продукции при оказании услуг общественного питания - 6 организаций (индивидуальных предпринимателей) в 10 объектах общественного питания. </w:t>
            </w:r>
            <w:r w:rsidR="008D7951" w:rsidRPr="00BB1EFC">
              <w:rPr>
                <w:rFonts w:ascii="Times New Roman" w:hAnsi="Times New Roman" w:cs="Times New Roman"/>
                <w:sz w:val="24"/>
                <w:szCs w:val="24"/>
              </w:rPr>
              <w:t>В целях оценки количества, поподающих под вводимые ограничения торговых объектов, осуществляющих розничную продажу алкогольной продукции и объектов общественного питания</w:t>
            </w:r>
            <w:r w:rsidR="007A43AD" w:rsidRPr="00BB1EFC">
              <w:rPr>
                <w:rFonts w:ascii="Times New Roman" w:hAnsi="Times New Roman" w:cs="Times New Roman"/>
                <w:sz w:val="24"/>
                <w:szCs w:val="24"/>
              </w:rPr>
              <w:t>, осуществляющих розничную продажу алкогольной продукции при оказании услуг общественного питания, так же расстояние ранее установленное 50 метров не изменяется, поэтому на момент принятия НПА объектов, попадающих под вводимые ограничения отсутствуют.</w:t>
            </w:r>
            <w:r w:rsidR="008D7951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6B89" w:rsidRPr="00BB1EFC" w:rsidRDefault="00946B89" w:rsidP="0098621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0374" w:rsidRPr="00BB1EFC" w:rsidRDefault="00120374" w:rsidP="0098621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4.5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5"/>
        <w:gridCol w:w="4252"/>
        <w:gridCol w:w="1985"/>
      </w:tblGrid>
      <w:tr w:rsidR="00120374" w:rsidRPr="00BB1EFC" w:rsidTr="001E3436">
        <w:trPr>
          <w:trHeight w:val="1690"/>
        </w:trPr>
        <w:tc>
          <w:tcPr>
            <w:tcW w:w="3545" w:type="dxa"/>
          </w:tcPr>
          <w:p w:rsidR="00120374" w:rsidRPr="00BB1EFC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Группа участников отношений</w:t>
            </w:r>
            <w:r w:rsidRPr="00BB1EFC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4252" w:type="dxa"/>
          </w:tcPr>
          <w:p w:rsidR="00120374" w:rsidRPr="00BB1EFC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85" w:type="dxa"/>
          </w:tcPr>
          <w:p w:rsidR="00120374" w:rsidRPr="00BB1EFC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Оценка изменения расходов/доходов, издержек/выгод, тыс. руб.</w:t>
            </w:r>
          </w:p>
        </w:tc>
      </w:tr>
      <w:tr w:rsidR="00070EC5" w:rsidRPr="00BB1EFC" w:rsidTr="001E3436">
        <w:trPr>
          <w:trHeight w:val="3374"/>
        </w:trPr>
        <w:tc>
          <w:tcPr>
            <w:tcW w:w="3545" w:type="dxa"/>
          </w:tcPr>
          <w:p w:rsidR="00070EC5" w:rsidRPr="00BB1EFC" w:rsidRDefault="00070EC5" w:rsidP="00993B6D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</w:t>
            </w:r>
          </w:p>
        </w:tc>
        <w:tc>
          <w:tcPr>
            <w:tcW w:w="4252" w:type="dxa"/>
          </w:tcPr>
          <w:p w:rsidR="00070EC5" w:rsidRPr="00BB1EFC" w:rsidRDefault="00070EC5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Новые ограничения: вводятся границы прилегающих территорий к зданиям, строениям, сооружениям</w:t>
            </w:r>
            <w:r w:rsidR="001B272C" w:rsidRPr="00BB1EFC">
              <w:rPr>
                <w:rFonts w:ascii="Times New Roman" w:hAnsi="Times New Roman" w:cs="Times New Roman"/>
                <w:sz w:val="24"/>
                <w:szCs w:val="24"/>
              </w:rPr>
              <w:t>, помещениям, находящимся во владении и (или) пользовании</w:t>
            </w:r>
            <w:r w:rsidR="00DA585F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обучение несовершеннолетних;</w:t>
            </w:r>
          </w:p>
          <w:p w:rsidR="00DA585F" w:rsidRPr="00BB1EFC" w:rsidRDefault="00DA585F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Новые ограничения: </w:t>
            </w:r>
            <w:r w:rsidR="00D30B99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вводятся границы прилегающих территорий к местам нахождения источников повышенной опасности, определяемых органами государственной власти </w:t>
            </w:r>
            <w:r w:rsidR="00D30B99" w:rsidRPr="00BB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Белгородской области;</w:t>
            </w:r>
          </w:p>
          <w:p w:rsidR="00D81419" w:rsidRPr="00BB1EFC" w:rsidRDefault="00810975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Новые ограничения: вводятся границы прилегающих территорий к спортивным сооружениям, которые являются объектами недвижимости и </w:t>
            </w:r>
            <w:r w:rsidR="00D81419" w:rsidRPr="00BB1EFC">
              <w:rPr>
                <w:rFonts w:ascii="Times New Roman" w:hAnsi="Times New Roman" w:cs="Times New Roman"/>
                <w:sz w:val="24"/>
                <w:szCs w:val="24"/>
              </w:rPr>
              <w:t>права на которые зарегистрирова</w:t>
            </w: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ны в</w:t>
            </w:r>
            <w:r w:rsidR="00D81419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установленном порядке, во время проведения в них детско-юношеских спортивных мероприятий;</w:t>
            </w:r>
          </w:p>
          <w:p w:rsidR="00DA585F" w:rsidRPr="00BB1EFC" w:rsidRDefault="00D81419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Новые ограничения: вводятся границы прилегающих территорий к многоквартирным домам для объектов общественного питания с залом обслуживания посетителей общей площадью менее, установленной Федеральным законом от 22 ноября 1995 года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или законом Белгородской об</w:t>
            </w:r>
            <w:r w:rsidR="00993B6D" w:rsidRPr="00BB1EFC">
              <w:rPr>
                <w:rFonts w:ascii="Times New Roman" w:hAnsi="Times New Roman" w:cs="Times New Roman"/>
                <w:sz w:val="24"/>
                <w:szCs w:val="24"/>
              </w:rPr>
              <w:t>ласти, в случае его принятия на расстоянии 50 метров</w:t>
            </w:r>
          </w:p>
        </w:tc>
        <w:tc>
          <w:tcPr>
            <w:tcW w:w="1985" w:type="dxa"/>
          </w:tcPr>
          <w:p w:rsidR="00070EC5" w:rsidRPr="00BB1EFC" w:rsidRDefault="00993B6D" w:rsidP="00993B6D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 проектом</w:t>
            </w:r>
          </w:p>
        </w:tc>
      </w:tr>
    </w:tbl>
    <w:p w:rsidR="00A47025" w:rsidRPr="00BB1EFC" w:rsidRDefault="00A47025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4A1" w:rsidRPr="00BB1EFC" w:rsidRDefault="000A54A1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4.6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4962"/>
        <w:gridCol w:w="2233"/>
      </w:tblGrid>
      <w:tr w:rsidR="000A54A1" w:rsidRPr="00BB1EFC" w:rsidTr="001B0BEA">
        <w:trPr>
          <w:trHeight w:val="510"/>
        </w:trPr>
        <w:tc>
          <w:tcPr>
            <w:tcW w:w="2410" w:type="dxa"/>
          </w:tcPr>
          <w:p w:rsidR="000A54A1" w:rsidRPr="00BB1EFC" w:rsidRDefault="000A54A1" w:rsidP="00A56F79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Наименование органа</w:t>
            </w:r>
          </w:p>
        </w:tc>
        <w:tc>
          <w:tcPr>
            <w:tcW w:w="4962" w:type="dxa"/>
          </w:tcPr>
          <w:p w:rsidR="000A54A1" w:rsidRPr="00BB1EFC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233" w:type="dxa"/>
          </w:tcPr>
          <w:p w:rsidR="000A54A1" w:rsidRPr="00BB1EFC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Оценка изменения трудозатрат и (или) потребностей в иных ресурсах</w:t>
            </w:r>
          </w:p>
        </w:tc>
      </w:tr>
      <w:tr w:rsidR="00211D76" w:rsidRPr="00BB1EFC" w:rsidTr="00791DAF">
        <w:trPr>
          <w:trHeight w:val="2069"/>
        </w:trPr>
        <w:tc>
          <w:tcPr>
            <w:tcW w:w="2410" w:type="dxa"/>
          </w:tcPr>
          <w:p w:rsidR="00211D76" w:rsidRPr="00BB1EFC" w:rsidRDefault="00211D76" w:rsidP="00F62E2D">
            <w:pPr>
              <w:ind w:left="-99"/>
              <w:jc w:val="center"/>
              <w:rPr>
                <w:rFonts w:ascii="Times New Roman" w:hAnsi="Times New Roman" w:cs="Times New Roman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4962" w:type="dxa"/>
            <w:vAlign w:val="center"/>
          </w:tcPr>
          <w:p w:rsidR="00211D76" w:rsidRPr="00BB1EFC" w:rsidRDefault="00211D76" w:rsidP="00F62E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Осуществляются в рамках ранее установленных полномочий</w:t>
            </w:r>
          </w:p>
        </w:tc>
        <w:tc>
          <w:tcPr>
            <w:tcW w:w="2233" w:type="dxa"/>
            <w:vAlign w:val="center"/>
          </w:tcPr>
          <w:p w:rsidR="00211D76" w:rsidRPr="00BB1EFC" w:rsidRDefault="00211D76" w:rsidP="00F62E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Дополнительные трудозатраты не требуются.</w:t>
            </w:r>
          </w:p>
        </w:tc>
      </w:tr>
    </w:tbl>
    <w:p w:rsidR="009C14EE" w:rsidRPr="00BB1EFC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EE" w:rsidRPr="00BB1EFC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EE" w:rsidRPr="00BB1EFC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4A1" w:rsidRPr="00BB1EFC" w:rsidRDefault="000A54A1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4.7 Оценка расходов (возможных поступлений) консолидированного бюджета Ракитянского района Белгородской области: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4111"/>
        <w:gridCol w:w="2375"/>
      </w:tblGrid>
      <w:tr w:rsidR="000A54A1" w:rsidRPr="00BB1EFC" w:rsidTr="001B0BEA">
        <w:trPr>
          <w:trHeight w:val="510"/>
        </w:trPr>
        <w:tc>
          <w:tcPr>
            <w:tcW w:w="3119" w:type="dxa"/>
          </w:tcPr>
          <w:p w:rsidR="000A54A1" w:rsidRPr="00BB1EFC" w:rsidRDefault="000A54A1" w:rsidP="00A56F79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111" w:type="dxa"/>
          </w:tcPr>
          <w:p w:rsidR="000A54A1" w:rsidRPr="00BB1EFC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Описание видов расходов (возможных поступлений) консоли</w:t>
            </w:r>
            <w:r w:rsidR="005B5985" w:rsidRPr="00BB1EFC">
              <w:rPr>
                <w:rFonts w:ascii="Times New Roman" w:hAnsi="Times New Roman" w:cs="Times New Roman"/>
                <w:b/>
              </w:rPr>
              <w:t xml:space="preserve">дированного бюджета Красногвардейского </w:t>
            </w:r>
            <w:r w:rsidRPr="00BB1EFC">
              <w:rPr>
                <w:rFonts w:ascii="Times New Roman" w:hAnsi="Times New Roman" w:cs="Times New Roman"/>
                <w:b/>
              </w:rPr>
              <w:t>района</w:t>
            </w:r>
          </w:p>
        </w:tc>
        <w:tc>
          <w:tcPr>
            <w:tcW w:w="2375" w:type="dxa"/>
          </w:tcPr>
          <w:p w:rsidR="000A54A1" w:rsidRPr="00BB1EFC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Количественная оценка расходов и возможных поступлений тыс. руб.</w:t>
            </w:r>
          </w:p>
        </w:tc>
      </w:tr>
      <w:tr w:rsidR="000A54A1" w:rsidRPr="00BB1EFC" w:rsidTr="001B0BEA">
        <w:trPr>
          <w:trHeight w:val="1078"/>
        </w:trPr>
        <w:tc>
          <w:tcPr>
            <w:tcW w:w="3119" w:type="dxa"/>
          </w:tcPr>
          <w:p w:rsidR="000A54A1" w:rsidRPr="00BB1EFC" w:rsidRDefault="009C14EE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4111" w:type="dxa"/>
          </w:tcPr>
          <w:p w:rsidR="000A54A1" w:rsidRPr="00BB1EFC" w:rsidRDefault="009C14EE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75" w:type="dxa"/>
          </w:tcPr>
          <w:p w:rsidR="000A54A1" w:rsidRPr="00BB1EFC" w:rsidRDefault="007A43AD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5B5985" w:rsidRPr="00BB1EFC" w:rsidRDefault="005B5985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A0AF6" w:rsidRPr="00BB1EFC" w:rsidRDefault="005A0AF6" w:rsidP="00937C7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5.</w:t>
      </w:r>
      <w:r w:rsidR="005C6556" w:rsidRPr="00BB1E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B1EFC">
        <w:rPr>
          <w:rFonts w:ascii="Times New Roman" w:hAnsi="Times New Roman" w:cs="Times New Roman"/>
          <w:b/>
          <w:sz w:val="26"/>
          <w:szCs w:val="26"/>
        </w:rPr>
        <w:t>Риски решения проблемы предложенным способом правового регулирования и риски негативных п</w:t>
      </w:r>
      <w:r w:rsidR="001E7447" w:rsidRPr="00BB1EFC">
        <w:rPr>
          <w:rFonts w:ascii="Times New Roman" w:hAnsi="Times New Roman" w:cs="Times New Roman"/>
          <w:b/>
          <w:sz w:val="26"/>
          <w:szCs w:val="26"/>
        </w:rPr>
        <w:t>оследствий</w:t>
      </w:r>
      <w:r w:rsidRPr="00BB1EFC">
        <w:rPr>
          <w:rFonts w:ascii="Times New Roman" w:hAnsi="Times New Roman" w:cs="Times New Roman"/>
          <w:b/>
          <w:sz w:val="26"/>
          <w:szCs w:val="26"/>
        </w:rPr>
        <w:t xml:space="preserve">, в том числе для конкуренции, а также описание методов контроля </w:t>
      </w:r>
      <w:r w:rsidR="005C6556" w:rsidRPr="00BB1EFC">
        <w:rPr>
          <w:rFonts w:ascii="Times New Roman" w:hAnsi="Times New Roman" w:cs="Times New Roman"/>
          <w:b/>
          <w:sz w:val="26"/>
          <w:szCs w:val="26"/>
        </w:rPr>
        <w:t>эффективности избранного способа достижения целей регулирования:</w:t>
      </w:r>
      <w:r w:rsidR="005C6556" w:rsidRPr="00BB1EFC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  <w:gridCol w:w="2693"/>
        <w:gridCol w:w="3509"/>
      </w:tblGrid>
      <w:tr w:rsidR="00D35547" w:rsidRPr="00BB1EFC" w:rsidTr="00C71917">
        <w:trPr>
          <w:trHeight w:val="510"/>
        </w:trPr>
        <w:tc>
          <w:tcPr>
            <w:tcW w:w="3403" w:type="dxa"/>
          </w:tcPr>
          <w:p w:rsidR="00D35547" w:rsidRPr="00BB1EFC" w:rsidRDefault="00D35547" w:rsidP="00475C7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693" w:type="dxa"/>
          </w:tcPr>
          <w:p w:rsidR="00D35547" w:rsidRPr="00BB1EFC" w:rsidRDefault="00D35547" w:rsidP="0047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Оценка вероятности наступления рисков</w:t>
            </w:r>
          </w:p>
        </w:tc>
        <w:tc>
          <w:tcPr>
            <w:tcW w:w="3509" w:type="dxa"/>
          </w:tcPr>
          <w:p w:rsidR="00D35547" w:rsidRPr="00BB1EFC" w:rsidRDefault="00D35547" w:rsidP="0047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D35547" w:rsidRPr="00BB1EFC" w:rsidTr="00C71917">
        <w:trPr>
          <w:trHeight w:val="1078"/>
        </w:trPr>
        <w:tc>
          <w:tcPr>
            <w:tcW w:w="3403" w:type="dxa"/>
          </w:tcPr>
          <w:p w:rsidR="00D35547" w:rsidRPr="00BB1EFC" w:rsidRDefault="00D35547" w:rsidP="00475C76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Несоблюдение юридическими лицами, индивидуальными предпринимателями, осуществляющими розничную продажу алкогольной продукции и розничную продажу алкогольной продукции при оказании услуг общественного питания вводимым запретам</w:t>
            </w:r>
          </w:p>
        </w:tc>
        <w:tc>
          <w:tcPr>
            <w:tcW w:w="2693" w:type="dxa"/>
          </w:tcPr>
          <w:p w:rsidR="00D35547" w:rsidRPr="00BB1EFC" w:rsidRDefault="00D35547" w:rsidP="00475C76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3509" w:type="dxa"/>
          </w:tcPr>
          <w:p w:rsidR="00D35547" w:rsidRPr="00BB1EFC" w:rsidRDefault="00D35547" w:rsidP="00D35547">
            <w:pPr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Мониторинг юридических лиц, индивидуальных предпринимателей, осуществляющих розничную продажу алкогольной продукции и розничную продажу алкогольной продукции при оказании услуг общественного питания сотрудниками отдела потребительского рынка и предпринимательства управления АПК и экономического развития района администрации Красногвардейского района</w:t>
            </w:r>
          </w:p>
        </w:tc>
      </w:tr>
    </w:tbl>
    <w:p w:rsidR="00D35547" w:rsidRPr="00BB1EFC" w:rsidRDefault="00D35547" w:rsidP="00937C7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986213" w:rsidRPr="00BB1EFC" w:rsidRDefault="00986213" w:rsidP="00937C79">
      <w:pPr>
        <w:jc w:val="both"/>
        <w:rPr>
          <w:rFonts w:ascii="Times New Roman" w:hAnsi="Times New Roman" w:cs="Times New Roman"/>
          <w:sz w:val="26"/>
          <w:szCs w:val="26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6.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  <w:r w:rsidRPr="00BB1EFC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0" w:type="auto"/>
        <w:tblLayout w:type="fixed"/>
        <w:tblLook w:val="04A0"/>
      </w:tblPr>
      <w:tblGrid>
        <w:gridCol w:w="3510"/>
        <w:gridCol w:w="1418"/>
        <w:gridCol w:w="2126"/>
        <w:gridCol w:w="1276"/>
        <w:gridCol w:w="1241"/>
      </w:tblGrid>
      <w:tr w:rsidR="00986213" w:rsidRPr="00BB1EFC" w:rsidTr="00611D2C">
        <w:tc>
          <w:tcPr>
            <w:tcW w:w="3510" w:type="dxa"/>
          </w:tcPr>
          <w:p w:rsidR="00986213" w:rsidRPr="00BB1EFC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t xml:space="preserve">Мероприятия, необходимые для </w:t>
            </w:r>
            <w:r w:rsidRPr="00BB1EFC">
              <w:rPr>
                <w:rFonts w:ascii="Times New Roman" w:hAnsi="Times New Roman" w:cs="Times New Roman"/>
                <w:b/>
              </w:rPr>
              <w:lastRenderedPageBreak/>
              <w:t xml:space="preserve">достижения целей регулирования </w:t>
            </w:r>
          </w:p>
        </w:tc>
        <w:tc>
          <w:tcPr>
            <w:tcW w:w="1418" w:type="dxa"/>
          </w:tcPr>
          <w:p w:rsidR="00986213" w:rsidRPr="00BB1EFC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lastRenderedPageBreak/>
              <w:t xml:space="preserve">Сроки </w:t>
            </w:r>
            <w:r w:rsidRPr="00BB1EFC">
              <w:rPr>
                <w:rFonts w:ascii="Times New Roman" w:hAnsi="Times New Roman" w:cs="Times New Roman"/>
                <w:b/>
              </w:rPr>
              <w:lastRenderedPageBreak/>
              <w:t>реализации</w:t>
            </w:r>
          </w:p>
        </w:tc>
        <w:tc>
          <w:tcPr>
            <w:tcW w:w="2126" w:type="dxa"/>
          </w:tcPr>
          <w:p w:rsidR="00986213" w:rsidRPr="00BB1EFC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lastRenderedPageBreak/>
              <w:t xml:space="preserve">Описание </w:t>
            </w:r>
            <w:r w:rsidRPr="00BB1EFC">
              <w:rPr>
                <w:rFonts w:ascii="Times New Roman" w:hAnsi="Times New Roman" w:cs="Times New Roman"/>
                <w:b/>
              </w:rPr>
              <w:lastRenderedPageBreak/>
              <w:t>ожидаемого результата</w:t>
            </w:r>
          </w:p>
        </w:tc>
        <w:tc>
          <w:tcPr>
            <w:tcW w:w="1276" w:type="dxa"/>
          </w:tcPr>
          <w:p w:rsidR="00986213" w:rsidRPr="00BB1EFC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lastRenderedPageBreak/>
              <w:t xml:space="preserve">Объем </w:t>
            </w:r>
            <w:r w:rsidRPr="00BB1EFC">
              <w:rPr>
                <w:rFonts w:ascii="Times New Roman" w:hAnsi="Times New Roman" w:cs="Times New Roman"/>
                <w:b/>
              </w:rPr>
              <w:lastRenderedPageBreak/>
              <w:t>финансирования</w:t>
            </w:r>
          </w:p>
        </w:tc>
        <w:tc>
          <w:tcPr>
            <w:tcW w:w="1241" w:type="dxa"/>
          </w:tcPr>
          <w:p w:rsidR="00986213" w:rsidRPr="00BB1EFC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1EFC">
              <w:rPr>
                <w:rFonts w:ascii="Times New Roman" w:hAnsi="Times New Roman" w:cs="Times New Roman"/>
                <w:b/>
              </w:rPr>
              <w:lastRenderedPageBreak/>
              <w:t>Источник</w:t>
            </w:r>
            <w:r w:rsidRPr="00BB1EFC">
              <w:rPr>
                <w:rFonts w:ascii="Times New Roman" w:hAnsi="Times New Roman" w:cs="Times New Roman"/>
                <w:b/>
              </w:rPr>
              <w:lastRenderedPageBreak/>
              <w:t>и финансирования</w:t>
            </w:r>
          </w:p>
        </w:tc>
      </w:tr>
      <w:tr w:rsidR="00986213" w:rsidRPr="00BB1EFC" w:rsidTr="00611D2C">
        <w:trPr>
          <w:trHeight w:val="3675"/>
        </w:trPr>
        <w:tc>
          <w:tcPr>
            <w:tcW w:w="3510" w:type="dxa"/>
          </w:tcPr>
          <w:p w:rsidR="007A43AD" w:rsidRPr="00BB1EFC" w:rsidRDefault="00986213" w:rsidP="00C4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о принятии </w:t>
            </w:r>
            <w:r w:rsidR="00333C1A" w:rsidRPr="00BB1EFC">
              <w:rPr>
                <w:rFonts w:ascii="Times New Roman" w:hAnsi="Times New Roman" w:cs="Times New Roman"/>
                <w:sz w:val="24"/>
                <w:szCs w:val="24"/>
              </w:rPr>
              <w:t>постановл</w:t>
            </w:r>
            <w:r w:rsidR="00C46577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ения администрации Красногвардейского </w:t>
            </w:r>
            <w:r w:rsidR="00333C1A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района</w:t>
            </w:r>
            <w:r w:rsidR="00C46577" w:rsidRPr="00BB1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213" w:rsidRPr="00BB1EFC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3AD" w:rsidRPr="00BB1EFC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86213" w:rsidRPr="00BB1EFC" w:rsidRDefault="00C46577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986213" w:rsidRPr="00BB1EF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43AD" w:rsidRPr="00BB1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86213" w:rsidRPr="00BB1EFC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</w:t>
            </w:r>
            <w:r w:rsidR="00C46577" w:rsidRPr="00BB1EFC">
              <w:rPr>
                <w:rFonts w:ascii="Times New Roman" w:hAnsi="Times New Roman" w:cs="Times New Roman"/>
                <w:sz w:val="24"/>
                <w:szCs w:val="24"/>
              </w:rPr>
              <w:t xml:space="preserve">, жителей Красногвардейского </w:t>
            </w: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276" w:type="dxa"/>
          </w:tcPr>
          <w:p w:rsidR="00986213" w:rsidRPr="00BB1EFC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241" w:type="dxa"/>
          </w:tcPr>
          <w:p w:rsidR="00986213" w:rsidRPr="00BB1EFC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86213" w:rsidRPr="00BB1EFC" w:rsidRDefault="00986213" w:rsidP="009862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13" w:rsidRPr="00BB1EFC" w:rsidRDefault="00986213" w:rsidP="00986213">
      <w:pPr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B1EFC">
        <w:rPr>
          <w:rFonts w:ascii="Times New Roman" w:hAnsi="Times New Roman" w:cs="Times New Roman"/>
          <w:b/>
          <w:sz w:val="26"/>
          <w:szCs w:val="26"/>
        </w:rPr>
        <w:t>7.  Предполагаемая дата вступления в силу проекта нормативного правового акта:</w:t>
      </w:r>
      <w:r w:rsidR="007A43AD" w:rsidRPr="00BB1E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D2C"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май 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>202</w:t>
      </w:r>
      <w:r w:rsidR="007A43AD" w:rsidRPr="00BB1EFC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Pr="00BB1EFC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</w:t>
      </w:r>
    </w:p>
    <w:p w:rsidR="00CD5E22" w:rsidRPr="006B11E4" w:rsidRDefault="00CD5E22" w:rsidP="00986213">
      <w:pPr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986213" w:rsidRPr="006B11E4" w:rsidRDefault="00986213" w:rsidP="0098621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6213" w:rsidRPr="006B11E4" w:rsidSect="009862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14E06"/>
    <w:rsid w:val="00035521"/>
    <w:rsid w:val="00047F58"/>
    <w:rsid w:val="00070EC5"/>
    <w:rsid w:val="00087983"/>
    <w:rsid w:val="000909A7"/>
    <w:rsid w:val="000A54A1"/>
    <w:rsid w:val="000B4F4D"/>
    <w:rsid w:val="000B57F6"/>
    <w:rsid w:val="000D0E85"/>
    <w:rsid w:val="001021E7"/>
    <w:rsid w:val="00105E1B"/>
    <w:rsid w:val="00120374"/>
    <w:rsid w:val="001308C0"/>
    <w:rsid w:val="00164035"/>
    <w:rsid w:val="001747F9"/>
    <w:rsid w:val="001A0408"/>
    <w:rsid w:val="001B0BEA"/>
    <w:rsid w:val="001B272C"/>
    <w:rsid w:val="001B796E"/>
    <w:rsid w:val="001E3436"/>
    <w:rsid w:val="001E7447"/>
    <w:rsid w:val="001F1ADD"/>
    <w:rsid w:val="001F204C"/>
    <w:rsid w:val="00211D76"/>
    <w:rsid w:val="00261565"/>
    <w:rsid w:val="002A6027"/>
    <w:rsid w:val="002B5558"/>
    <w:rsid w:val="002B6092"/>
    <w:rsid w:val="002B64E4"/>
    <w:rsid w:val="002C69E9"/>
    <w:rsid w:val="002E0188"/>
    <w:rsid w:val="002E3351"/>
    <w:rsid w:val="00333C1A"/>
    <w:rsid w:val="003426AD"/>
    <w:rsid w:val="00347CC2"/>
    <w:rsid w:val="00354F06"/>
    <w:rsid w:val="003651F9"/>
    <w:rsid w:val="00371500"/>
    <w:rsid w:val="00387924"/>
    <w:rsid w:val="003F0BAE"/>
    <w:rsid w:val="00434762"/>
    <w:rsid w:val="00477085"/>
    <w:rsid w:val="004852E3"/>
    <w:rsid w:val="0052244C"/>
    <w:rsid w:val="005674FF"/>
    <w:rsid w:val="005A0AF6"/>
    <w:rsid w:val="005B5985"/>
    <w:rsid w:val="005C6556"/>
    <w:rsid w:val="005D2B33"/>
    <w:rsid w:val="00611D2C"/>
    <w:rsid w:val="00682708"/>
    <w:rsid w:val="00683ACE"/>
    <w:rsid w:val="006B11E4"/>
    <w:rsid w:val="006B42F6"/>
    <w:rsid w:val="006D5967"/>
    <w:rsid w:val="006D7833"/>
    <w:rsid w:val="006E2485"/>
    <w:rsid w:val="00751360"/>
    <w:rsid w:val="00761EAA"/>
    <w:rsid w:val="007A43AD"/>
    <w:rsid w:val="007C27ED"/>
    <w:rsid w:val="007C52C7"/>
    <w:rsid w:val="007D210C"/>
    <w:rsid w:val="00810975"/>
    <w:rsid w:val="008139D3"/>
    <w:rsid w:val="0082447B"/>
    <w:rsid w:val="008556C5"/>
    <w:rsid w:val="00856736"/>
    <w:rsid w:val="00893837"/>
    <w:rsid w:val="008A2367"/>
    <w:rsid w:val="008C3649"/>
    <w:rsid w:val="008D7951"/>
    <w:rsid w:val="008D7CEE"/>
    <w:rsid w:val="009179D9"/>
    <w:rsid w:val="00937C79"/>
    <w:rsid w:val="00942938"/>
    <w:rsid w:val="00946B89"/>
    <w:rsid w:val="00964D10"/>
    <w:rsid w:val="00977825"/>
    <w:rsid w:val="00981711"/>
    <w:rsid w:val="00986213"/>
    <w:rsid w:val="00993B6D"/>
    <w:rsid w:val="009B0D09"/>
    <w:rsid w:val="009C14EE"/>
    <w:rsid w:val="00A1168D"/>
    <w:rsid w:val="00A16D98"/>
    <w:rsid w:val="00A21E66"/>
    <w:rsid w:val="00A46416"/>
    <w:rsid w:val="00A47025"/>
    <w:rsid w:val="00A701D2"/>
    <w:rsid w:val="00AA1544"/>
    <w:rsid w:val="00AD00D8"/>
    <w:rsid w:val="00B22BAC"/>
    <w:rsid w:val="00B25DF2"/>
    <w:rsid w:val="00B31BEC"/>
    <w:rsid w:val="00B46A8C"/>
    <w:rsid w:val="00B55ECD"/>
    <w:rsid w:val="00B87222"/>
    <w:rsid w:val="00B91409"/>
    <w:rsid w:val="00BB1EFC"/>
    <w:rsid w:val="00BF2357"/>
    <w:rsid w:val="00BF2789"/>
    <w:rsid w:val="00BF49F4"/>
    <w:rsid w:val="00C05B6B"/>
    <w:rsid w:val="00C14E06"/>
    <w:rsid w:val="00C17B73"/>
    <w:rsid w:val="00C20CF7"/>
    <w:rsid w:val="00C300AC"/>
    <w:rsid w:val="00C32023"/>
    <w:rsid w:val="00C46577"/>
    <w:rsid w:val="00C71917"/>
    <w:rsid w:val="00CB56FF"/>
    <w:rsid w:val="00CD5E22"/>
    <w:rsid w:val="00D1467C"/>
    <w:rsid w:val="00D17648"/>
    <w:rsid w:val="00D30A17"/>
    <w:rsid w:val="00D30B99"/>
    <w:rsid w:val="00D31CB5"/>
    <w:rsid w:val="00D32F37"/>
    <w:rsid w:val="00D35547"/>
    <w:rsid w:val="00D507A4"/>
    <w:rsid w:val="00D81419"/>
    <w:rsid w:val="00DA2179"/>
    <w:rsid w:val="00DA585F"/>
    <w:rsid w:val="00DD3EDC"/>
    <w:rsid w:val="00DD46C8"/>
    <w:rsid w:val="00DF51C8"/>
    <w:rsid w:val="00E562A2"/>
    <w:rsid w:val="00E57591"/>
    <w:rsid w:val="00E61786"/>
    <w:rsid w:val="00E82F7A"/>
    <w:rsid w:val="00E950C3"/>
    <w:rsid w:val="00EC3F24"/>
    <w:rsid w:val="00ED1BF9"/>
    <w:rsid w:val="00F26615"/>
    <w:rsid w:val="00F27AF6"/>
    <w:rsid w:val="00F62E2D"/>
    <w:rsid w:val="00F8023E"/>
    <w:rsid w:val="00F9559A"/>
    <w:rsid w:val="00FD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  <w:style w:type="paragraph" w:styleId="3">
    <w:name w:val="Body Text 3"/>
    <w:basedOn w:val="a"/>
    <w:link w:val="30"/>
    <w:rsid w:val="003651F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51F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986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33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D507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7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65</cp:revision>
  <cp:lastPrinted>2024-04-24T12:19:00Z</cp:lastPrinted>
  <dcterms:created xsi:type="dcterms:W3CDTF">2023-07-11T08:02:00Z</dcterms:created>
  <dcterms:modified xsi:type="dcterms:W3CDTF">2024-06-07T07:13:00Z</dcterms:modified>
</cp:coreProperties>
</file>