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8"/>
          <w:szCs w:val="28"/>
        </w:rPr>
        <w:t>Сводный отчёт</w:t>
      </w:r>
    </w:p>
    <w:p>
      <w:pPr>
        <w:pStyle w:val="Normal"/>
        <w:spacing w:lineRule="auto" w:line="240" w:before="0" w:after="0"/>
        <w:jc w:val="center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8"/>
          <w:szCs w:val="28"/>
        </w:rPr>
        <w:t xml:space="preserve">о результатах проведения оценки регулирующего воздействия </w:t>
      </w:r>
    </w:p>
    <w:p>
      <w:pPr>
        <w:pStyle w:val="Normal"/>
        <w:spacing w:lineRule="auto" w:line="240" w:before="0" w:after="0"/>
        <w:jc w:val="center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8"/>
          <w:szCs w:val="28"/>
        </w:rPr>
        <w:t>проекта нормативного правового акта</w:t>
      </w:r>
    </w:p>
    <w:p>
      <w:pPr>
        <w:pStyle w:val="Normal"/>
        <w:spacing w:lineRule="auto" w:line="240" w:before="0" w:after="0"/>
        <w:jc w:val="center"/>
        <w:rPr>
          <w:rFonts w:ascii="Tinos" w:hAnsi="Tinos" w:cs="Times New Roman"/>
          <w:b/>
          <w:color w:val="000000"/>
          <w:sz w:val="28"/>
          <w:szCs w:val="28"/>
        </w:rPr>
      </w:pPr>
      <w:r>
        <w:rPr>
          <w:rFonts w:cs="Times New Roman" w:ascii="Tinos" w:hAnsi="Tinos"/>
          <w:b/>
          <w:color w:val="000000"/>
          <w:sz w:val="28"/>
          <w:szCs w:val="28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1. Общая информация:</w:t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1.1. Орган – разработчик проекта нормативного акта:</w:t>
      </w:r>
    </w:p>
    <w:p>
      <w:pPr>
        <w:pStyle w:val="Normal"/>
        <w:rPr>
          <w:highlight w:val="none"/>
          <w:shd w:fill="auto" w:val="clear"/>
        </w:rPr>
      </w:pPr>
      <w:r>
        <w:rPr>
          <w:rFonts w:eastAsia="Times New Roman" w:cs="Times New Roman" w:ascii="Tinos" w:hAnsi="Tinos"/>
          <w:b w:val="false"/>
          <w:bCs w:val="false"/>
          <w:i/>
          <w:color w:val="000000"/>
          <w:sz w:val="28"/>
          <w:szCs w:val="28"/>
          <w:u w:val="single"/>
          <w:shd w:fill="auto" w:val="clear"/>
        </w:rPr>
        <w:t>Территориальный отдел — Красногвардейский кадровый центр</w:t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1.2. Вид и наименование проекта нормативного правового акта:</w:t>
      </w:r>
    </w:p>
    <w:p>
      <w:pPr>
        <w:pStyle w:val="NoSpacing"/>
        <w:jc w:val="both"/>
        <w:rPr>
          <w:rFonts w:ascii="Tinos" w:hAnsi="Tinos"/>
        </w:rPr>
      </w:pPr>
      <w:r>
        <w:rPr>
          <w:rFonts w:eastAsia="Times New Roman" w:cs="Times New Roman" w:ascii="Tinos" w:hAnsi="Tinos"/>
          <w:i/>
          <w:color w:val="000000"/>
          <w:spacing w:val="-1"/>
          <w:sz w:val="28"/>
          <w:szCs w:val="28"/>
          <w:u w:val="single"/>
          <w:shd w:fill="auto" w:val="clear"/>
        </w:rPr>
        <w:t xml:space="preserve">Проект распоряжения администрации Красногвардейского района </w:t>
      </w:r>
      <w:r>
        <w:rPr>
          <w:rFonts w:eastAsia="" w:cs="Times New Roman" w:ascii="Tinos" w:hAnsi="Tinos" w:eastAsiaTheme="minorEastAsia"/>
          <w:i/>
          <w:color w:val="000000"/>
          <w:spacing w:val="-1"/>
          <w:sz w:val="28"/>
          <w:szCs w:val="28"/>
          <w:u w:val="single"/>
          <w:shd w:fill="auto" w:val="clear"/>
        </w:rPr>
        <w:t>«Об организации временного трудоустройства несовершеннолетних граждан в возрасте от 14 до 18 лет в свободное от учебы время в 2025 году</w:t>
      </w:r>
      <w:r>
        <w:rPr>
          <w:rFonts w:eastAsia="" w:cs="Times New Roman" w:ascii="Tinos" w:hAnsi="Tinos" w:eastAsiaTheme="minorEastAsia"/>
          <w:i/>
          <w:color w:val="000000"/>
          <w:sz w:val="28"/>
          <w:szCs w:val="28"/>
          <w:u w:val="single"/>
          <w:shd w:fill="auto" w:val="clear"/>
        </w:rPr>
        <w:t>»</w:t>
      </w:r>
    </w:p>
    <w:p>
      <w:pPr>
        <w:pStyle w:val="BodyText3"/>
        <w:spacing w:before="0" w:after="0"/>
        <w:jc w:val="both"/>
        <w:rPr>
          <w:rFonts w:ascii="Tinos" w:hAnsi="Tinos"/>
          <w:b/>
          <w:i/>
          <w:i/>
          <w:color w:val="000000"/>
          <w:sz w:val="26"/>
          <w:szCs w:val="26"/>
          <w:u w:val="single"/>
        </w:rPr>
      </w:pPr>
      <w:r>
        <w:rPr>
          <w:rFonts w:ascii="Tinos" w:hAnsi="Tinos"/>
          <w:b/>
          <w:i/>
          <w:color w:val="000000"/>
          <w:sz w:val="26"/>
          <w:szCs w:val="26"/>
          <w:u w:val="single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1.3. Сроки проведения публичного обсуждения проекта нормативного правового акта: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Начало: «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1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 xml:space="preserve">3» 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января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 xml:space="preserve"> 2025 г.,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Окончание: «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21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 xml:space="preserve">» 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января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 xml:space="preserve"> 2025 г.</w:t>
      </w:r>
    </w:p>
    <w:p>
      <w:pPr>
        <w:pStyle w:val="Normal"/>
        <w:spacing w:lineRule="auto" w:line="240" w:before="0" w:after="0"/>
        <w:jc w:val="both"/>
        <w:rPr>
          <w:rFonts w:ascii="Tinos" w:hAnsi="Tinos" w:cs="Times New Roman"/>
          <w:color w:val="000000"/>
          <w:sz w:val="26"/>
          <w:szCs w:val="26"/>
        </w:rPr>
      </w:pPr>
      <w:r>
        <w:rPr>
          <w:rFonts w:cs="Times New Roman" w:ascii="Tinos" w:hAnsi="Tinos"/>
          <w:color w:val="000000"/>
          <w:sz w:val="26"/>
          <w:szCs w:val="26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 xml:space="preserve">1.4 Степень регулирующего воздействия проекта нормативного правового акта: 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 xml:space="preserve">высокая. Проект НПА разрабатывается впервые, 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предлагаемое правовое регулирование направлено на организацию временного трудоустройства несовершеннолетних граждан в учреждениях, организациях и на предприятиях муниципального района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.</w:t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1.5 Контактная информация исполнителя в органе-разработчике</w:t>
      </w:r>
      <w:r>
        <w:rPr>
          <w:rFonts w:cs="Times New Roman" w:ascii="Tinos" w:hAnsi="Tinos"/>
          <w:color w:val="000000"/>
          <w:sz w:val="26"/>
          <w:szCs w:val="26"/>
        </w:rPr>
        <w:t>: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 xml:space="preserve">Ф.И.О.: </w:t>
      </w:r>
      <w:r>
        <w:rPr>
          <w:rFonts w:cs="Times New Roman" w:ascii="Tinos" w:hAnsi="Tinos"/>
          <w:b w:val="false"/>
          <w:bCs w:val="false"/>
          <w:i/>
          <w:color w:val="000000"/>
          <w:sz w:val="26"/>
          <w:szCs w:val="26"/>
          <w:u w:val="single"/>
        </w:rPr>
        <w:t>Лесникова Татьяна Ивановна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 xml:space="preserve">Должность: 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н</w:t>
      </w:r>
      <w:r>
        <w:rPr>
          <w:rFonts w:cs="Times New Roman" w:ascii="Tinos" w:hAnsi="Tinos"/>
          <w:i/>
          <w:color w:val="000000"/>
          <w:sz w:val="26"/>
          <w:szCs w:val="24"/>
          <w:u w:val="single"/>
        </w:rPr>
        <w:t>ачальник Красногвардейского кадрового центра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 xml:space="preserve">Телефон: (47247) </w:t>
      </w:r>
      <w:r>
        <w:rPr>
          <w:rFonts w:cs="Times New Roman" w:ascii="Tinos" w:hAnsi="Tinos"/>
          <w:i/>
          <w:color w:val="000000"/>
          <w:sz w:val="28"/>
          <w:szCs w:val="28"/>
          <w:u w:val="single"/>
        </w:rPr>
        <w:t>3-11-75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 xml:space="preserve">Адрес электронной почты: </w:t>
      </w:r>
      <w:r>
        <w:rPr>
          <w:rFonts w:cs="Times New Roman" w:ascii="Tinos" w:hAnsi="Tinos"/>
          <w:i/>
          <w:color w:val="000000"/>
          <w:sz w:val="28"/>
          <w:szCs w:val="28"/>
          <w:u w:val="single"/>
          <w:lang w:val="en-US"/>
        </w:rPr>
        <w:t>krgvckiytsz</w:t>
      </w:r>
      <w:r>
        <w:rPr>
          <w:rFonts w:cs="Times New Roman" w:ascii="Tinos" w:hAnsi="Tinos"/>
          <w:i/>
          <w:color w:val="000000"/>
          <w:sz w:val="28"/>
          <w:szCs w:val="28"/>
          <w:u w:val="single"/>
        </w:rPr>
        <w:t>@</w:t>
      </w:r>
      <w:r>
        <w:rPr>
          <w:rFonts w:cs="Times New Roman" w:ascii="Tinos" w:hAnsi="Tinos"/>
          <w:i/>
          <w:color w:val="000000"/>
          <w:sz w:val="28"/>
          <w:szCs w:val="28"/>
          <w:u w:val="single"/>
          <w:lang w:val="en-US"/>
        </w:rPr>
        <w:t>yandex</w:t>
      </w:r>
      <w:r>
        <w:rPr>
          <w:rFonts w:cs="Times New Roman" w:ascii="Tinos" w:hAnsi="Tinos"/>
          <w:i/>
          <w:color w:val="000000"/>
          <w:sz w:val="28"/>
          <w:szCs w:val="28"/>
          <w:u w:val="single"/>
        </w:rPr>
        <w:t>.</w:t>
      </w:r>
      <w:r>
        <w:rPr>
          <w:rFonts w:cs="Times New Roman" w:ascii="Tinos" w:hAnsi="Tinos"/>
          <w:i/>
          <w:color w:val="000000"/>
          <w:sz w:val="28"/>
          <w:szCs w:val="28"/>
          <w:u w:val="single"/>
          <w:lang w:val="en-US"/>
        </w:rPr>
        <w:t>ru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color w:val="000000"/>
          <w:sz w:val="26"/>
          <w:szCs w:val="26"/>
        </w:rPr>
        <w:t xml:space="preserve"> </w:t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2. Описание проблемы на решение которой направлено вводимое правовое регулирование:</w:t>
      </w:r>
    </w:p>
    <w:p>
      <w:pPr>
        <w:pStyle w:val="Normal"/>
        <w:spacing w:lineRule="auto" w:line="240" w:before="0" w:after="0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2.1 Проблемы, на решение которой направлен предлагаемый способ правового регулирования</w:t>
      </w:r>
      <w:r>
        <w:rPr>
          <w:rFonts w:cs="Times New Roman" w:ascii="Tinos" w:hAnsi="Tinos"/>
          <w:color w:val="000000"/>
          <w:sz w:val="26"/>
          <w:szCs w:val="26"/>
        </w:rPr>
        <w:t xml:space="preserve">: 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0" w:leader="none"/>
        </w:tabs>
        <w:spacing w:lineRule="auto" w:line="228" w:before="295" w:after="0"/>
        <w:ind w:hanging="0" w:left="0" w:right="-1"/>
        <w:rPr>
          <w:rFonts w:ascii="Tinos" w:hAnsi="Tinos"/>
        </w:rPr>
      </w:pPr>
      <w:r>
        <w:rPr>
          <w:rFonts w:ascii="Tinos" w:hAnsi="Tinos"/>
          <w:i/>
          <w:color w:val="000000"/>
          <w:spacing w:val="-2"/>
          <w:sz w:val="26"/>
          <w:szCs w:val="26"/>
          <w:u w:val="single"/>
        </w:rPr>
        <w:t>В свободное от учебы время большая часть подростковой предоставлены сами себе. Статистика показывает, что именно в это время наблюдается рост детской преступности и травматизма. Трудовая деятельность является важным профилактическим и воспитательным средством борьбы с детской безнадзорностью и преступностью, криминализацией подростковой среды. Таким образом, основным направлением работы в летний период и в свободное от учебы время является организация временного трудоустройства несовершеннолетних граждан в учреждениях, организациях и на предприятиях муниципального района.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0" w:leader="none"/>
        </w:tabs>
        <w:spacing w:lineRule="auto" w:line="228" w:before="295" w:after="0"/>
        <w:ind w:hanging="0" w:left="0" w:right="-1"/>
        <w:rPr>
          <w:rFonts w:ascii="Tinos" w:hAnsi="Tinos"/>
          <w:i/>
          <w:i/>
          <w:color w:val="000000"/>
          <w:sz w:val="26"/>
          <w:szCs w:val="26"/>
          <w:u w:val="single"/>
        </w:rPr>
      </w:pPr>
      <w:r>
        <w:rPr>
          <w:rFonts w:ascii="Tinos" w:hAnsi="Tinos"/>
          <w:i/>
          <w:color w:val="000000"/>
          <w:sz w:val="26"/>
          <w:szCs w:val="26"/>
          <w:u w:val="single"/>
        </w:rPr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0" w:leader="none"/>
        </w:tabs>
        <w:spacing w:lineRule="auto" w:line="235" w:before="75" w:after="0"/>
        <w:ind w:hanging="0" w:left="0" w:right="-1"/>
        <w:jc w:val="left"/>
        <w:rPr>
          <w:rFonts w:ascii="Tinos" w:hAnsi="Tinos"/>
        </w:rPr>
      </w:pPr>
      <w:r>
        <w:rPr>
          <w:rFonts w:ascii="Tinos" w:hAnsi="Tinos"/>
          <w:b/>
          <w:color w:val="000000"/>
          <w:sz w:val="26"/>
          <w:szCs w:val="26"/>
        </w:rPr>
        <w:t>2.2 Информация о возникновении и выявлении проблемы</w:t>
      </w:r>
      <w:r>
        <w:rPr>
          <w:rFonts w:ascii="Tinos" w:hAnsi="Tinos"/>
          <w:color w:val="000000"/>
          <w:sz w:val="26"/>
          <w:szCs w:val="26"/>
        </w:rPr>
        <w:t xml:space="preserve">: 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0" w:leader="none"/>
          <w:tab w:val="left" w:pos="1021" w:leader="none"/>
        </w:tabs>
        <w:spacing w:lineRule="auto" w:line="235" w:before="75" w:after="0"/>
        <w:ind w:hanging="0" w:left="0" w:right="-1"/>
        <w:rPr>
          <w:rFonts w:ascii="Tinos" w:hAnsi="Tinos"/>
        </w:rPr>
      </w:pPr>
      <w:r>
        <w:rPr>
          <w:rFonts w:ascii="Tinos" w:hAnsi="Tinos"/>
          <w:i/>
          <w:color w:val="000000"/>
          <w:spacing w:val="-6"/>
          <w:sz w:val="26"/>
          <w:szCs w:val="26"/>
          <w:u w:val="single"/>
        </w:rPr>
        <w:t>В ходе проведенного анализа по трудоустройству несовершеннолетних граждан в возрасте от 14 до 18 лет в летний период и в свободное от учебы время наблюдается тенденция нехватки организаций и учреждений, которые могут предоставить рабочие места для вышеуказанной категории лиц.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0" w:leader="none"/>
          <w:tab w:val="left" w:pos="1021" w:leader="none"/>
        </w:tabs>
        <w:spacing w:lineRule="auto" w:line="235" w:before="75" w:after="0"/>
        <w:ind w:hanging="0" w:left="0" w:right="-1"/>
        <w:rPr>
          <w:rFonts w:ascii="Tinos" w:hAnsi="Tinos"/>
          <w:i/>
          <w:i/>
          <w:color w:val="000000"/>
          <w:sz w:val="26"/>
          <w:szCs w:val="26"/>
          <w:u w:val="single"/>
        </w:rPr>
      </w:pPr>
      <w:r>
        <w:rPr>
          <w:rFonts w:ascii="Tinos" w:hAnsi="Tinos"/>
          <w:i/>
          <w:color w:val="000000"/>
          <w:sz w:val="26"/>
          <w:szCs w:val="26"/>
          <w:u w:val="single"/>
        </w:rPr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0" w:leader="none"/>
        </w:tabs>
        <w:spacing w:lineRule="auto" w:line="235" w:before="75" w:after="0"/>
        <w:ind w:hanging="0" w:left="0" w:right="486"/>
        <w:rPr>
          <w:rFonts w:ascii="Tinos" w:hAnsi="Tinos"/>
        </w:rPr>
      </w:pPr>
      <w:r>
        <w:rPr>
          <w:rFonts w:ascii="Tinos" w:hAnsi="Tinos"/>
          <w:b/>
          <w:color w:val="000000"/>
          <w:sz w:val="26"/>
          <w:szCs w:val="26"/>
        </w:rPr>
        <w:t>2.3 Негативные эффекты, возникающие в связи с наличием рассматриваемой  проблемы</w:t>
      </w:r>
      <w:r>
        <w:rPr>
          <w:rFonts w:ascii="Tinos" w:hAnsi="Tinos"/>
          <w:color w:val="000000"/>
          <w:sz w:val="26"/>
          <w:szCs w:val="26"/>
        </w:rPr>
        <w:t xml:space="preserve">: </w:t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0" w:leader="none"/>
          <w:tab w:val="left" w:pos="1021" w:leader="none"/>
        </w:tabs>
        <w:spacing w:lineRule="auto" w:line="235" w:before="75" w:after="0"/>
        <w:ind w:hanging="0" w:left="0" w:right="486"/>
        <w:rPr>
          <w:rFonts w:ascii="Tinos" w:hAnsi="Tinos"/>
        </w:rPr>
      </w:pPr>
      <w:r>
        <w:rPr>
          <w:rFonts w:ascii="Tinos" w:hAnsi="Tinos"/>
          <w:i/>
          <w:color w:val="000000"/>
          <w:spacing w:val="-2"/>
          <w:sz w:val="26"/>
          <w:szCs w:val="26"/>
          <w:u w:val="single"/>
        </w:rPr>
        <w:t xml:space="preserve">Невозможность создания благоприятных условий для организации трудоустройства несовершеннолетних граждан в возрасте от 14 до 18 лет в свободное от учебы время. </w:t>
      </w:r>
    </w:p>
    <w:p>
      <w:pPr>
        <w:pStyle w:val="Normal"/>
        <w:spacing w:lineRule="auto" w:line="240" w:before="0" w:after="0"/>
        <w:jc w:val="both"/>
        <w:rPr>
          <w:rFonts w:ascii="Tinos" w:hAnsi="Tinos" w:cs="Times New Roman"/>
          <w:color w:val="000000"/>
          <w:sz w:val="26"/>
          <w:szCs w:val="26"/>
          <w:u w:val="single"/>
        </w:rPr>
      </w:pPr>
      <w:r>
        <w:rPr>
          <w:rFonts w:cs="Times New Roman" w:ascii="Tinos" w:hAnsi="Tinos"/>
          <w:color w:val="000000"/>
          <w:sz w:val="26"/>
          <w:szCs w:val="26"/>
          <w:u w:val="single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3 Цели вводимого правового регулирования и измеримые показатели их достижения:</w:t>
      </w:r>
    </w:p>
    <w:p>
      <w:pPr>
        <w:pStyle w:val="BodyText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3.1 Описание целей предлагаемого правового регулирования:</w:t>
      </w:r>
      <w:r>
        <w:rPr>
          <w:rFonts w:cs="Times New Roman" w:ascii="Tinos" w:hAnsi="Tinos"/>
          <w:color w:val="000000"/>
          <w:sz w:val="26"/>
          <w:szCs w:val="26"/>
        </w:rPr>
        <w:t xml:space="preserve"> </w:t>
      </w:r>
    </w:p>
    <w:p>
      <w:pPr>
        <w:pStyle w:val="NoSpacing"/>
        <w:jc w:val="both"/>
        <w:rPr>
          <w:rFonts w:ascii="Tinos" w:hAnsi="Tinos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Целью правового регулирования являются: приобщение несовершеннолетних граждан к общественно-полезному труду, укрепление ответственности подростков за порученное дело, предупреждения правонарушений в подростковой среде.</w:t>
      </w:r>
    </w:p>
    <w:p>
      <w:pPr>
        <w:pStyle w:val="BodyText3"/>
        <w:spacing w:before="0" w:after="0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</w:rPr>
      </w:r>
    </w:p>
    <w:p>
      <w:pPr>
        <w:pStyle w:val="BodyText3"/>
        <w:spacing w:before="0" w:after="0"/>
        <w:jc w:val="both"/>
        <w:rPr>
          <w:rFonts w:ascii="Tinos" w:hAnsi="Tinos"/>
        </w:rPr>
      </w:pPr>
      <w:r>
        <w:rPr>
          <w:rFonts w:ascii="Tinos" w:hAnsi="Tinos"/>
          <w:b/>
          <w:color w:val="000000"/>
          <w:sz w:val="26"/>
          <w:szCs w:val="26"/>
        </w:rPr>
        <w:t>3.2 Обоснование соответствия целей предлагаемого правового регулирования принципам правового регулирования</w:t>
      </w:r>
      <w:r>
        <w:rPr>
          <w:rFonts w:ascii="Tinos" w:hAnsi="Tinos"/>
          <w:color w:val="000000"/>
          <w:sz w:val="26"/>
          <w:szCs w:val="26"/>
        </w:rPr>
        <w:t xml:space="preserve">: </w:t>
      </w:r>
      <w:r>
        <w:rPr>
          <w:rFonts w:ascii="Tinos" w:hAnsi="Tinos"/>
          <w:i/>
          <w:iCs/>
          <w:color w:val="000000"/>
          <w:sz w:val="26"/>
          <w:szCs w:val="26"/>
          <w:highlight w:val="white"/>
          <w:u w:val="single"/>
          <w:lang w:val="ru-RU"/>
        </w:rPr>
        <w:t>В</w:t>
      </w:r>
      <w:r>
        <w:rPr>
          <w:rFonts w:ascii="Tinos" w:hAnsi="Tinos"/>
          <w:i/>
          <w:iCs/>
          <w:color w:val="000000"/>
          <w:sz w:val="26"/>
          <w:szCs w:val="26"/>
          <w:highlight w:val="white"/>
          <w:u w:val="single"/>
          <w:shd w:fill="FFFFFF" w:val="clear"/>
          <w:lang w:val="ru-RU"/>
        </w:rPr>
        <w:t xml:space="preserve"> соответствии с Законом Российской Федерации от 19 апреля 1991 года № 1031-1 «О занятости населения в Российской Федерации»,  Законом Российской Федерации от 12 декабря  2023 года № 565-фз «О занятости населения в Российской Федерации», во исполнение распоряжения Правительства Белгородской области № 670-рп от 29 декабря 2015 года «Об утверждении порядка взаимодействия по организации временного трудоустройства несовершеннолетних граждан в возрасте от 14 до 18 лет»</w:t>
      </w:r>
    </w:p>
    <w:p>
      <w:pPr>
        <w:pStyle w:val="BodyText3"/>
        <w:spacing w:before="0" w:after="0"/>
        <w:jc w:val="both"/>
        <w:rPr>
          <w:rFonts w:ascii="Tinos" w:hAnsi="Tinos"/>
          <w:color w:val="000000"/>
          <w:sz w:val="26"/>
          <w:szCs w:val="26"/>
          <w:highlight w:val="yellow"/>
          <w:u w:val="single"/>
        </w:rPr>
      </w:pPr>
      <w:r>
        <w:rPr>
          <w:rFonts w:ascii="Tinos" w:hAnsi="Tinos"/>
          <w:color w:val="000000"/>
          <w:sz w:val="26"/>
          <w:szCs w:val="26"/>
          <w:highlight w:val="yellow"/>
          <w:u w:val="single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3.3 Сроки достижения целей предлагаемого правового регулирования:</w:t>
      </w:r>
      <w:r>
        <w:rPr>
          <w:rFonts w:cs="Times New Roman" w:ascii="Tinos" w:hAnsi="Tinos"/>
          <w:color w:val="000000"/>
          <w:sz w:val="26"/>
          <w:szCs w:val="26"/>
        </w:rPr>
        <w:t xml:space="preserve"> 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 xml:space="preserve">Со дня официального опубликования 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распоряжения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 xml:space="preserve"> администрации муниципального района Красногвардейский район</w:t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3.4 Иная информация о целях предлагаемого правового регулирования</w:t>
      </w:r>
      <w:r>
        <w:rPr>
          <w:rFonts w:cs="Times New Roman" w:ascii="Tinos" w:hAnsi="Tinos"/>
          <w:color w:val="000000"/>
          <w:sz w:val="26"/>
          <w:szCs w:val="26"/>
        </w:rPr>
        <w:t xml:space="preserve">: 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отсутствует</w:t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4. Описание предлагаемого правового регулирования:</w:t>
      </w:r>
    </w:p>
    <w:p>
      <w:pPr>
        <w:pStyle w:val="NoSpacing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4.1 Описание предлагаемого способа решения проблемы и преодоления, связанных с ней негативных эффектов</w:t>
      </w:r>
      <w:r>
        <w:rPr>
          <w:rFonts w:cs="Times New Roman" w:ascii="Tinos" w:hAnsi="Tinos"/>
          <w:color w:val="000000"/>
          <w:sz w:val="26"/>
          <w:szCs w:val="26"/>
        </w:rPr>
        <w:t xml:space="preserve">: 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 xml:space="preserve">Принятие проекта 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распоряжения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 xml:space="preserve"> администрации Красногвардейского района «Об 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организации временного трудоустройства несовершеннолетних граждан в возрасте от 14 до 18 лет в свободное от учебы время в 2025 году</w:t>
      </w:r>
      <w:r>
        <w:rPr>
          <w:rFonts w:cs="Times New Roman" w:ascii="Tinos" w:hAnsi="Tinos"/>
          <w:i/>
          <w:color w:val="000000"/>
          <w:sz w:val="26"/>
          <w:szCs w:val="26"/>
          <w:u w:val="single"/>
        </w:rPr>
        <w:t>».</w:t>
      </w:r>
    </w:p>
    <w:p>
      <w:pPr>
        <w:pStyle w:val="Normal"/>
        <w:jc w:val="both"/>
        <w:rPr>
          <w:rFonts w:ascii="Tinos" w:hAnsi="Tinos" w:cs="Times New Roman"/>
          <w:b/>
          <w:color w:val="000000"/>
          <w:sz w:val="26"/>
          <w:szCs w:val="26"/>
        </w:rPr>
      </w:pPr>
      <w:r>
        <w:rPr>
          <w:rFonts w:cs="Times New Roman" w:ascii="Tinos" w:hAnsi="Tinos"/>
          <w:b/>
          <w:color w:val="000000"/>
          <w:sz w:val="26"/>
          <w:szCs w:val="26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4.2 Альтернативные варианты решения проблемы</w:t>
      </w:r>
      <w:r>
        <w:rPr>
          <w:rFonts w:cs="Times New Roman" w:ascii="Tinos" w:hAnsi="Tinos"/>
          <w:color w:val="000000"/>
          <w:sz w:val="26"/>
          <w:szCs w:val="26"/>
        </w:rPr>
        <w:t xml:space="preserve">: </w:t>
      </w:r>
      <w:r>
        <w:rPr>
          <w:rFonts w:cs="Times New Roman" w:ascii="Tinos" w:hAnsi="Tinos"/>
          <w:color w:val="000000"/>
          <w:sz w:val="26"/>
          <w:szCs w:val="26"/>
          <w:u w:val="single"/>
        </w:rPr>
        <w:t>не предполагаются</w:t>
      </w:r>
    </w:p>
    <w:p>
      <w:pPr>
        <w:pStyle w:val="NoSpacing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4.3 Обоснование выбора предлагаемого способа решения проблемы</w:t>
      </w:r>
      <w:r>
        <w:rPr>
          <w:rFonts w:cs="Times New Roman" w:ascii="Tinos" w:hAnsi="Tinos"/>
          <w:color w:val="000000"/>
          <w:sz w:val="26"/>
          <w:szCs w:val="26"/>
        </w:rPr>
        <w:t>:</w:t>
      </w:r>
      <w:r>
        <w:rPr>
          <w:rFonts w:cs="Times New Roman" w:ascii="Tinos" w:hAnsi="Tinos"/>
          <w:color w:val="000000"/>
          <w:sz w:val="26"/>
          <w:szCs w:val="26"/>
          <w:u w:val="single"/>
        </w:rPr>
        <w:t xml:space="preserve"> Указанный вариант решения проблемы позволит </w:t>
      </w:r>
      <w:r>
        <w:rPr>
          <w:rFonts w:cs="Times New Roman" w:ascii="Tinos" w:hAnsi="Tinos"/>
          <w:color w:val="000000"/>
          <w:sz w:val="26"/>
          <w:szCs w:val="26"/>
          <w:u w:val="single"/>
        </w:rPr>
        <w:t>временно трудоустроить несовершеннолетних граждан, приобщить к общественно-полезному труду, ответственность подростков за порученное дело и предупредить правонарушение в подростковой среде.</w:t>
      </w:r>
      <w:r>
        <w:rPr>
          <w:rFonts w:cs="Times New Roman" w:ascii="Tinos" w:hAnsi="Tinos"/>
          <w:color w:val="000000"/>
          <w:sz w:val="26"/>
          <w:szCs w:val="26"/>
          <w:u w:val="single"/>
        </w:rPr>
        <w:t xml:space="preserve"> </w:t>
      </w:r>
    </w:p>
    <w:p>
      <w:pPr>
        <w:pStyle w:val="BodyText3"/>
        <w:spacing w:before="0" w:after="0"/>
        <w:jc w:val="both"/>
        <w:rPr>
          <w:rFonts w:ascii="Tinos" w:hAnsi="Tinos"/>
          <w:color w:val="000000"/>
          <w:sz w:val="26"/>
          <w:szCs w:val="26"/>
        </w:rPr>
      </w:pPr>
      <w:r>
        <w:rPr>
          <w:rFonts w:ascii="Tinos" w:hAnsi="Tinos"/>
          <w:color w:val="000000"/>
          <w:sz w:val="26"/>
          <w:szCs w:val="26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4.4 Основные группы субъектов предпринимательской и иной экономической деятельности,  иные заинтересованные лица, включая органы местного самоуправления, интересы которых будут затронуты предлагаемым правовым регулированием. Оценка их количественного состава:</w:t>
      </w:r>
    </w:p>
    <w:tbl>
      <w:tblPr>
        <w:tblW w:w="9498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552"/>
        <w:gridCol w:w="6945"/>
      </w:tblGrid>
      <w:tr>
        <w:trPr>
          <w:trHeight w:val="510" w:hRule="atLeast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035" w:leader="none"/>
              </w:tabs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Группа участников отношений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Оценка количества участников отношений</w:t>
            </w:r>
          </w:p>
        </w:tc>
      </w:tr>
      <w:tr>
        <w:trPr>
          <w:trHeight w:val="1078" w:hRule="atLeast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 xml:space="preserve">Субъекты малого и среднего предпринимательства, </w:t>
            </w: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предприятия бюджетной сферы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Неограниченное количество</w:t>
            </w:r>
          </w:p>
        </w:tc>
      </w:tr>
    </w:tbl>
    <w:p>
      <w:pPr>
        <w:pStyle w:val="Normal"/>
        <w:jc w:val="both"/>
        <w:rPr>
          <w:rFonts w:ascii="Tinos" w:hAnsi="Tinos" w:cs="Times New Roman"/>
          <w:b/>
          <w:color w:val="000000"/>
          <w:sz w:val="26"/>
          <w:szCs w:val="26"/>
        </w:rPr>
      </w:pPr>
      <w:r>
        <w:rPr>
          <w:rFonts w:cs="Times New Roman" w:ascii="Tinos" w:hAnsi="Tinos"/>
          <w:b/>
          <w:color w:val="000000"/>
          <w:sz w:val="26"/>
          <w:szCs w:val="26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4.5 Оценка изменений обязанностей, ограничений и преимуществ, расходов и доходов, а также ожидаемых издержек и выгод для субъектов предпринимательской  и иной экономической  деятельности, интересы которых затрагиваются вводимым правовым регулированием.</w:t>
      </w:r>
    </w:p>
    <w:tbl>
      <w:tblPr>
        <w:tblW w:w="9782" w:type="dxa"/>
        <w:jc w:val="left"/>
        <w:tblInd w:w="-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44"/>
        <w:gridCol w:w="4253"/>
        <w:gridCol w:w="1985"/>
      </w:tblGrid>
      <w:tr>
        <w:trPr>
          <w:trHeight w:val="1690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26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Группа участников отношений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26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26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Оценка изменения расходов/доходов, издержек/выгод, тыс. руб.</w:t>
            </w:r>
          </w:p>
        </w:tc>
      </w:tr>
      <w:tr>
        <w:trPr>
          <w:trHeight w:val="3374" w:hRule="atLeast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26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 xml:space="preserve">Юридические лица, индивидуальные предприниматели, </w:t>
            </w: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организации бюджетной сферы, главы К(Ф)Х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left="126"/>
              <w:jc w:val="both"/>
              <w:rPr>
                <w:rFonts w:ascii="Tinos" w:hAnsi="Tinos"/>
                <w:color w:val="000000"/>
              </w:rPr>
            </w:pPr>
            <w:r>
              <w:rPr>
                <w:rFonts w:ascii="Tinos" w:hAnsi="Tinos"/>
                <w:color w:val="000000"/>
              </w:rPr>
            </w:r>
          </w:p>
          <w:p>
            <w:pPr>
              <w:pStyle w:val="Normal"/>
              <w:spacing w:before="0" w:after="200"/>
              <w:ind w:left="126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Отсутствуют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126"/>
              <w:jc w:val="both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Не предусмотрено проектом</w:t>
            </w:r>
          </w:p>
        </w:tc>
      </w:tr>
    </w:tbl>
    <w:p>
      <w:pPr>
        <w:pStyle w:val="Normal"/>
        <w:jc w:val="both"/>
        <w:rPr>
          <w:rFonts w:ascii="Tinos" w:hAnsi="Tinos" w:cs="Times New Roman"/>
          <w:b/>
          <w:color w:val="000000"/>
          <w:sz w:val="26"/>
          <w:szCs w:val="26"/>
        </w:rPr>
      </w:pPr>
      <w:r>
        <w:rPr>
          <w:rFonts w:cs="Times New Roman" w:ascii="Tinos" w:hAnsi="Tinos"/>
          <w:b/>
          <w:color w:val="000000"/>
          <w:sz w:val="26"/>
          <w:szCs w:val="26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4.6 Новые функции, полномочия, обязанности и права, а также ожидаемые издержки и выгоды органов местного самоуправления области или сведения об их изменении:</w:t>
      </w:r>
    </w:p>
    <w:tbl>
      <w:tblPr>
        <w:tblW w:w="9605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407"/>
        <w:gridCol w:w="4961"/>
        <w:gridCol w:w="2237"/>
      </w:tblGrid>
      <w:tr>
        <w:trPr>
          <w:trHeight w:val="510" w:hRule="atLeast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035" w:leader="none"/>
              </w:tabs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Наименование органа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Оценка изменения трудозатрат и (или) потребностей в иных ресурсах</w:t>
            </w:r>
          </w:p>
        </w:tc>
      </w:tr>
      <w:tr>
        <w:trPr>
          <w:trHeight w:val="2069" w:hRule="atLeast"/>
        </w:trPr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Администрация Красногвардейского района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Tinos" w:hAnsi="Tinos"/>
              </w:rPr>
            </w:pPr>
            <w:r>
              <w:rPr>
                <w:rFonts w:eastAsia="Calibri" w:cs="Times New Roman" w:ascii="Tinos" w:hAnsi="Tinos"/>
                <w:color w:val="000000"/>
                <w:sz w:val="24"/>
                <w:szCs w:val="24"/>
              </w:rPr>
              <w:t>Нет</w:t>
            </w:r>
          </w:p>
          <w:p>
            <w:pPr>
              <w:pStyle w:val="Normal"/>
              <w:spacing w:before="0" w:after="200"/>
              <w:jc w:val="center"/>
              <w:rPr>
                <w:rFonts w:ascii="Tinos" w:hAnsi="Tinos"/>
                <w:color w:val="000000"/>
              </w:rPr>
            </w:pPr>
            <w:r>
              <w:rPr>
                <w:rFonts w:ascii="Tinos" w:hAnsi="Tinos"/>
                <w:color w:val="000000"/>
              </w:rPr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</w:rPr>
            </w:pPr>
            <w:r>
              <w:rPr>
                <w:rFonts w:eastAsia="Calibri" w:cs="Times New Roman" w:ascii="Tinos" w:hAnsi="Tinos"/>
                <w:iCs/>
                <w:color w:val="000000"/>
                <w:sz w:val="24"/>
                <w:szCs w:val="24"/>
              </w:rPr>
              <w:t>Отсутствуют</w:t>
            </w:r>
          </w:p>
        </w:tc>
      </w:tr>
    </w:tbl>
    <w:p>
      <w:pPr>
        <w:pStyle w:val="Normal"/>
        <w:jc w:val="both"/>
        <w:rPr>
          <w:rFonts w:ascii="Tinos" w:hAnsi="Tinos" w:cs="Times New Roman"/>
          <w:b/>
          <w:color w:val="000000"/>
          <w:sz w:val="26"/>
          <w:szCs w:val="26"/>
        </w:rPr>
      </w:pPr>
      <w:r>
        <w:rPr>
          <w:rFonts w:cs="Times New Roman" w:ascii="Tinos" w:hAnsi="Tinos"/>
          <w:b/>
          <w:color w:val="000000"/>
          <w:sz w:val="26"/>
          <w:szCs w:val="26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 xml:space="preserve">4.7 Оценка расходов (возможных поступлений) консолидированного бюджета </w:t>
      </w:r>
      <w:r>
        <w:rPr>
          <w:rFonts w:cs="Times New Roman" w:ascii="Tinos" w:hAnsi="Tinos"/>
          <w:b/>
          <w:color w:val="000000"/>
          <w:sz w:val="26"/>
          <w:szCs w:val="26"/>
        </w:rPr>
        <w:t>Красногвардейского</w:t>
      </w:r>
      <w:r>
        <w:rPr>
          <w:rFonts w:cs="Times New Roman" w:ascii="Tinos" w:hAnsi="Tinos"/>
          <w:b/>
          <w:color w:val="000000"/>
          <w:sz w:val="26"/>
          <w:szCs w:val="26"/>
        </w:rPr>
        <w:t xml:space="preserve"> района Белгородской области:</w:t>
      </w:r>
    </w:p>
    <w:tbl>
      <w:tblPr>
        <w:tblW w:w="9605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115"/>
        <w:gridCol w:w="4111"/>
        <w:gridCol w:w="2379"/>
      </w:tblGrid>
      <w:tr>
        <w:trPr>
          <w:trHeight w:val="510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035" w:leader="none"/>
              </w:tabs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Описание видов расходов (возможных поступлений) консолидированного бюджета Красногвардейского района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Количественная оценка расходов и возможных поступлений тыс. руб.</w:t>
            </w:r>
          </w:p>
        </w:tc>
      </w:tr>
      <w:tr>
        <w:trPr>
          <w:trHeight w:val="1078" w:hRule="atLeast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В соответствии с действующим законодательством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Отсутствует</w:t>
            </w:r>
          </w:p>
        </w:tc>
      </w:tr>
    </w:tbl>
    <w:p>
      <w:pPr>
        <w:pStyle w:val="Normal"/>
        <w:jc w:val="both"/>
        <w:rPr>
          <w:rFonts w:ascii="Tinos" w:hAnsi="Tinos" w:cs="Times New Roman"/>
          <w:b/>
          <w:color w:val="000000"/>
          <w:sz w:val="26"/>
          <w:szCs w:val="26"/>
        </w:rPr>
      </w:pPr>
      <w:r>
        <w:rPr>
          <w:rFonts w:cs="Times New Roman" w:ascii="Tinos" w:hAnsi="Tinos"/>
          <w:b/>
          <w:color w:val="000000"/>
          <w:sz w:val="26"/>
          <w:szCs w:val="26"/>
        </w:rPr>
      </w:r>
      <w:bookmarkStart w:id="0" w:name="_GoBack"/>
      <w:bookmarkStart w:id="1" w:name="_GoBack"/>
      <w:bookmarkEnd w:id="1"/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5. Риски решения проблемы предложенным способом правового регулирования и риски негативных последствий, в том числе для конкуренции, а также описание методов контроля эффективности избранного способа достижения целей регулирования:</w:t>
      </w:r>
      <w:r>
        <w:rPr>
          <w:rFonts w:cs="Times New Roman" w:ascii="Tinos" w:hAnsi="Tinos"/>
          <w:color w:val="000000"/>
          <w:sz w:val="26"/>
          <w:szCs w:val="26"/>
        </w:rPr>
        <w:t xml:space="preserve"> </w:t>
      </w:r>
    </w:p>
    <w:tbl>
      <w:tblPr>
        <w:tblW w:w="9605" w:type="dxa"/>
        <w:jc w:val="left"/>
        <w:tblInd w:w="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403"/>
        <w:gridCol w:w="2693"/>
        <w:gridCol w:w="3509"/>
      </w:tblGrid>
      <w:tr>
        <w:trPr>
          <w:trHeight w:val="510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035" w:leader="none"/>
              </w:tabs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Оценка вероятности наступления рисков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b/>
                <w:color w:val="000000"/>
              </w:rPr>
              <w:t>Методы контроля эффективности избранного способа достижения целей регулирования</w:t>
            </w:r>
          </w:p>
        </w:tc>
      </w:tr>
      <w:tr>
        <w:trPr>
          <w:trHeight w:val="1078" w:hRule="atLeast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Отказ в приеме на работу несовершеннолетних граждан субъектами малого и среднего предпринимательства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center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>Низкая</w:t>
            </w:r>
          </w:p>
        </w:tc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ind w:left="-99"/>
              <w:jc w:val="both"/>
              <w:rPr>
                <w:rFonts w:ascii="Tinos" w:hAnsi="Tinos"/>
              </w:rPr>
            </w:pPr>
            <w:r>
              <w:rPr>
                <w:rFonts w:cs="Times New Roman" w:ascii="Tinos" w:hAnsi="Tinos"/>
                <w:color w:val="000000"/>
                <w:sz w:val="24"/>
                <w:szCs w:val="24"/>
              </w:rPr>
              <w:t xml:space="preserve">Мониторинг, разъяснительная работа </w:t>
            </w:r>
          </w:p>
        </w:tc>
      </w:tr>
    </w:tbl>
    <w:p>
      <w:pPr>
        <w:pStyle w:val="Normal"/>
        <w:jc w:val="both"/>
        <w:rPr>
          <w:rFonts w:ascii="Tinos" w:hAnsi="Tinos" w:cs="Times New Roman"/>
          <w:i/>
          <w:i/>
          <w:color w:val="000000"/>
          <w:sz w:val="26"/>
          <w:szCs w:val="26"/>
          <w:u w:val="single"/>
        </w:rPr>
      </w:pPr>
      <w:r>
        <w:rPr>
          <w:rFonts w:cs="Times New Roman" w:ascii="Tinos" w:hAnsi="Tinos"/>
          <w:i/>
          <w:color w:val="000000"/>
          <w:sz w:val="26"/>
          <w:szCs w:val="26"/>
          <w:u w:val="single"/>
        </w:rPr>
      </w:r>
    </w:p>
    <w:p>
      <w:pPr>
        <w:pStyle w:val="Normal"/>
        <w:jc w:val="both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>6. 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  <w:r>
        <w:rPr>
          <w:rFonts w:cs="Times New Roman" w:ascii="Tinos" w:hAnsi="Tinos"/>
          <w:color w:val="000000"/>
          <w:sz w:val="26"/>
          <w:szCs w:val="26"/>
        </w:rPr>
        <w:t>:</w:t>
      </w:r>
    </w:p>
    <w:tbl>
      <w:tblPr>
        <w:tblStyle w:val="a4"/>
        <w:tblW w:w="9627" w:type="dxa"/>
        <w:jc w:val="left"/>
        <w:tblInd w:w="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561"/>
        <w:gridCol w:w="1414"/>
        <w:gridCol w:w="2122"/>
        <w:gridCol w:w="1275"/>
        <w:gridCol w:w="1255"/>
      </w:tblGrid>
      <w:tr>
        <w:trPr/>
        <w:tc>
          <w:tcPr>
            <w:tcW w:w="35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b/>
                <w:color w:val="000000"/>
                <w:kern w:val="0"/>
                <w:sz w:val="22"/>
                <w:szCs w:val="22"/>
                <w:lang w:val="ru-RU" w:eastAsia="en-US" w:bidi="ar-SA"/>
              </w:rPr>
              <w:t>Мероприятия, необходимые для достижения целей регулирования</w:t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b/>
                <w:color w:val="000000"/>
                <w:kern w:val="0"/>
                <w:sz w:val="22"/>
                <w:szCs w:val="22"/>
                <w:lang w:val="ru-RU" w:eastAsia="en-US" w:bidi="ar-SA"/>
              </w:rPr>
              <w:t>Сроки реализации</w:t>
            </w:r>
          </w:p>
        </w:tc>
        <w:tc>
          <w:tcPr>
            <w:tcW w:w="212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b/>
                <w:color w:val="000000"/>
                <w:kern w:val="0"/>
                <w:sz w:val="22"/>
                <w:szCs w:val="22"/>
                <w:lang w:val="ru-RU" w:eastAsia="en-US" w:bidi="ar-SA"/>
              </w:rPr>
              <w:t>Описание ожидаемого результата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b/>
                <w:color w:val="000000"/>
                <w:kern w:val="0"/>
                <w:sz w:val="22"/>
                <w:szCs w:val="22"/>
                <w:lang w:val="ru-RU" w:eastAsia="en-US" w:bidi="ar-SA"/>
              </w:rPr>
              <w:t>Объем финансирования</w:t>
            </w:r>
          </w:p>
        </w:tc>
        <w:tc>
          <w:tcPr>
            <w:tcW w:w="12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both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b/>
                <w:color w:val="000000"/>
                <w:kern w:val="0"/>
                <w:sz w:val="22"/>
                <w:szCs w:val="22"/>
                <w:lang w:val="ru-RU" w:eastAsia="en-US" w:bidi="ar-SA"/>
              </w:rPr>
              <w:t>Источники финансирования</w:t>
            </w:r>
          </w:p>
        </w:tc>
      </w:tr>
      <w:tr>
        <w:trPr>
          <w:trHeight w:val="3675" w:hRule="atLeast"/>
        </w:trPr>
        <w:tc>
          <w:tcPr>
            <w:tcW w:w="356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Размещение информации о принятии </w:t>
            </w: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  <w:t>распоряжения</w:t>
            </w: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 администрации Красногвардейского района на официальном сайте администрации района.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nos" w:hAnsi="Tinos"/>
                <w:sz w:val="22"/>
              </w:rPr>
            </w:pPr>
            <w:r>
              <w:rPr>
                <w:rFonts w:ascii="Tinos" w:hAnsi="Tinos"/>
                <w:sz w:val="22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nos" w:hAnsi="Tinos" w:eastAsia="Calibri" w:cs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</w:r>
          </w:p>
        </w:tc>
        <w:tc>
          <w:tcPr>
            <w:tcW w:w="141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  <w:t>С момента подписания распоряжения</w:t>
            </w:r>
          </w:p>
        </w:tc>
        <w:tc>
          <w:tcPr>
            <w:tcW w:w="212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Информирование субъектов </w:t>
            </w: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  <w:t xml:space="preserve">малого и среднего </w:t>
            </w: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  <w:t>предприниматель</w:t>
            </w: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  <w:t>ства Кр</w:t>
            </w: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  <w:t>асногвардейского района</w:t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12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nos" w:hAnsi="Tinos"/>
                <w:sz w:val="22"/>
              </w:rPr>
            </w:pPr>
            <w:r>
              <w:rPr>
                <w:rFonts w:eastAsia="Calibri" w:cs="Times New Roman" w:ascii="Tinos" w:hAnsi="Tinos"/>
                <w:color w:val="000000"/>
                <w:kern w:val="0"/>
                <w:sz w:val="24"/>
                <w:szCs w:val="24"/>
                <w:lang w:val="ru-RU" w:eastAsia="en-US" w:bidi="ar-SA"/>
              </w:rPr>
              <w:t>Отсутствует</w:t>
            </w:r>
          </w:p>
        </w:tc>
      </w:tr>
    </w:tbl>
    <w:p>
      <w:pPr>
        <w:pStyle w:val="Normal"/>
        <w:rPr>
          <w:rFonts w:ascii="Tinos" w:hAnsi="Tinos"/>
          <w:color w:val="000000"/>
        </w:rPr>
      </w:pPr>
      <w:r>
        <w:rPr>
          <w:rFonts w:ascii="Tinos" w:hAnsi="Tinos"/>
          <w:color w:val="000000"/>
        </w:rPr>
      </w:r>
    </w:p>
    <w:p>
      <w:pPr>
        <w:pStyle w:val="Normal"/>
        <w:rPr>
          <w:rFonts w:ascii="Tinos" w:hAnsi="Tinos"/>
        </w:rPr>
      </w:pPr>
      <w:r>
        <w:rPr>
          <w:rFonts w:cs="Times New Roman" w:ascii="Tinos" w:hAnsi="Tinos"/>
          <w:b/>
          <w:color w:val="000000"/>
          <w:sz w:val="26"/>
          <w:szCs w:val="26"/>
        </w:rPr>
        <w:t xml:space="preserve">7.  Предполагаемая дата вступления в силу проекта нормативного правового акта: </w:t>
      </w:r>
      <w:r>
        <w:rPr>
          <w:rFonts w:cs="Times New Roman" w:ascii="Tinos" w:hAnsi="Tinos"/>
          <w:b w:val="false"/>
          <w:bCs w:val="false"/>
          <w:i/>
          <w:iCs/>
          <w:color w:val="000000"/>
          <w:sz w:val="26"/>
          <w:szCs w:val="26"/>
          <w:u w:val="single"/>
        </w:rPr>
        <w:t>февраль  2025 г.</w:t>
      </w:r>
    </w:p>
    <w:p>
      <w:pPr>
        <w:pStyle w:val="Normal"/>
        <w:rPr>
          <w:rFonts w:ascii="Tinos" w:hAnsi="Tinos" w:cs="Times New Roman"/>
          <w:i/>
          <w:i/>
          <w:iCs/>
          <w:color w:val="000000"/>
          <w:sz w:val="26"/>
          <w:szCs w:val="26"/>
          <w:u w:val="single"/>
        </w:rPr>
      </w:pPr>
      <w:r>
        <w:rPr>
          <w:rFonts w:cs="Times New Roman" w:ascii="Tinos" w:hAnsi="Tinos"/>
          <w:i/>
          <w:iCs/>
          <w:color w:val="000000"/>
          <w:sz w:val="26"/>
          <w:szCs w:val="26"/>
          <w:u w:val="single"/>
        </w:rPr>
      </w:r>
    </w:p>
    <w:p>
      <w:pPr>
        <w:pStyle w:val="Normal"/>
        <w:spacing w:before="0" w:after="200"/>
        <w:jc w:val="both"/>
        <w:rPr>
          <w:rFonts w:ascii="Tinos" w:hAnsi="Tinos" w:cs="Times New Roman"/>
          <w:color w:val="000000"/>
          <w:sz w:val="20"/>
          <w:szCs w:val="20"/>
        </w:rPr>
      </w:pPr>
      <w:r>
        <w:rPr>
          <w:rFonts w:cs="Times New Roman" w:ascii="Tinos" w:hAnsi="Tinos"/>
          <w:color w:val="000000"/>
          <w:sz w:val="20"/>
          <w:szCs w:val="20"/>
        </w:rPr>
      </w:r>
    </w:p>
    <w:sectPr>
      <w:type w:val="nextPage"/>
      <w:pgSz w:w="11906" w:h="16838"/>
      <w:pgMar w:left="1701" w:right="850" w:gutter="0" w:header="0" w:top="426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Tinos">
    <w:charset w:val="01"/>
    <w:family w:val="auto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54" w:hanging="262"/>
      </w:pPr>
      <w:rPr>
        <w:spacing w:val="0"/>
        <w:w w:val="96"/>
        <w:lang w:val="ru-RU" w:eastAsia="en-US" w:bidi="ar-SA"/>
      </w:rPr>
    </w:lvl>
    <w:lvl w:ilvl="1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bullet"/>
      <w:lvlText w:val=""/>
      <w:lvlJc w:val="left"/>
      <w:pPr>
        <w:tabs>
          <w:tab w:val="num" w:pos="0"/>
        </w:tabs>
        <w:ind w:left="320" w:hanging="606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860" w:hanging="606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020" w:hanging="606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1060" w:hanging="606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2892" w:hanging="606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4725" w:hanging="606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6558" w:hanging="606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2447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a46416"/>
    <w:rPr>
      <w:color w:themeColor="hyperlink" w:val="0000FF"/>
      <w:u w:val="single"/>
    </w:rPr>
  </w:style>
  <w:style w:type="character" w:styleId="3" w:customStyle="1">
    <w:name w:val="Основной текст 3 Знак"/>
    <w:basedOn w:val="DefaultParagraphFont"/>
    <w:link w:val="BodyText3"/>
    <w:qFormat/>
    <w:rsid w:val="003651f9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Style14" w:customStyle="1">
    <w:name w:val="Основной текст Знак"/>
    <w:basedOn w:val="DefaultParagraphFont"/>
    <w:uiPriority w:val="99"/>
    <w:semiHidden/>
    <w:qFormat/>
    <w:rsid w:val="004a228a"/>
    <w:rPr/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Noto Sans CJK SC" w:cs="FreeSans"/>
      <w:sz w:val="28"/>
      <w:szCs w:val="28"/>
    </w:rPr>
  </w:style>
  <w:style w:type="paragraph" w:styleId="BodyText">
    <w:name w:val="Body Text"/>
    <w:basedOn w:val="Normal"/>
    <w:link w:val="Style14"/>
    <w:uiPriority w:val="99"/>
    <w:semiHidden/>
    <w:unhideWhenUsed/>
    <w:rsid w:val="004a228a"/>
    <w:pPr>
      <w:spacing w:before="0" w:after="120"/>
    </w:pPr>
    <w:rPr/>
  </w:style>
  <w:style w:type="paragraph" w:styleId="List">
    <w:name w:val="List"/>
    <w:basedOn w:val="BodyText"/>
    <w:pPr/>
    <w:rPr>
      <w:rFonts w:ascii="PT Astra Serif" w:hAnsi="PT Astra Serif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Free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PT Astra Serif" w:hAnsi="PT Astra Serif" w:cs="FreeSans"/>
    </w:rPr>
  </w:style>
  <w:style w:type="paragraph" w:styleId="BodyText3">
    <w:name w:val="Body Text 3"/>
    <w:basedOn w:val="Normal"/>
    <w:link w:val="3"/>
    <w:qFormat/>
    <w:rsid w:val="003651f9"/>
    <w:pPr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NormalWeb">
    <w:name w:val="Normal (Web)"/>
    <w:basedOn w:val="Normal"/>
    <w:uiPriority w:val="99"/>
    <w:semiHidden/>
    <w:unhideWhenUsed/>
    <w:qFormat/>
    <w:rsid w:val="00333c1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d507a4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uiPriority w:val="1"/>
    <w:qFormat/>
    <w:rsid w:val="00bb29df"/>
    <w:pPr>
      <w:widowControl w:val="false"/>
      <w:spacing w:lineRule="auto" w:line="240" w:before="0" w:after="0"/>
      <w:ind w:firstLine="537" w:left="334"/>
      <w:jc w:val="both"/>
    </w:pPr>
    <w:rPr>
      <w:rFonts w:ascii="Times New Roman" w:hAnsi="Times New Roman" w:eastAsia="Times New Roman" w:cs="Times New Roman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8621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Application>LibreOffice/24.8.4.2$Linux_X86_64 LibreOffice_project/480$Build-2</Application>
  <AppVersion>15.0000</AppVersion>
  <Pages>5</Pages>
  <Words>853</Words>
  <Characters>6612</Characters>
  <CharactersWithSpaces>7406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2023-07-11T08:02:00Z</dcterms:created>
  <dc:creator>Пользователь</dc:creator>
  <dc:description/>
  <dc:language>ru-RU</dc:language>
  <cp:lastModifiedBy/>
  <cp:lastPrinted>2025-06-04T14:19:19Z</cp:lastPrinted>
  <dcterms:modified xsi:type="dcterms:W3CDTF">2025-06-17T14:59:32Z</dcterms:modified>
  <cp:revision>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