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header3.xml" ContentType="application/vnd.openxmlformats-officedocument.wordprocessingml.header+xml"/>
  <Override PartName="/word/_rels/document.xml.rels" ContentType="application/vnd.openxmlformats-package.relationships+xml"/>
  <Override PartName="/word/header2.xml" ContentType="application/vnd.openxmlformats-officedocument.wordprocessingml.header+xml"/>
  <Override PartName="/word/media/image1.jpeg" ContentType="image/jpeg"/>
  <Override PartName="/word/media/image2.jpeg" ContentType="image/jpe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headerReference w:type="default" r:id="rId2"/>
          <w:type w:val="nextPage"/>
          <w:pgSz w:w="11906" w:h="16838"/>
          <w:pgMar w:left="1701" w:right="851" w:gutter="0" w:header="567" w:top="1134" w:footer="0" w:bottom="1134"/>
          <w:pgNumType w:fmt="decimal"/>
          <w:formProt w:val="false"/>
          <w:textDirection w:val="lrTb"/>
          <w:docGrid w:type="default" w:linePitch="100" w:charSpace="0"/>
        </w:sectPr>
        <w:pStyle w:val="Normal"/>
        <w:widowControl/>
        <w:spacing w:before="149" w:after="0"/>
        <w:ind w:right="-2" w:hanging="0"/>
        <w:jc w:val="right"/>
        <w:rPr>
          <w:bCs/>
          <w:spacing w:val="70"/>
          <w:sz w:val="28"/>
          <w:szCs w:val="28"/>
        </w:rPr>
      </w:pPr>
      <w:r>
        <w:rPr>
          <w:bCs/>
          <w:spacing w:val="70"/>
          <w:sz w:val="28"/>
          <w:szCs w:val="28"/>
        </w:rPr>
      </w:r>
    </w:p>
    <w:p>
      <w:pPr>
        <w:pStyle w:val="Normal"/>
        <w:rPr>
          <w:rFonts w:ascii="Times New Roman" w:hAnsi="Times New Roman"/>
          <w:sz w:val="20"/>
          <w:szCs w:val="20"/>
        </w:rPr>
      </w:pPr>
      <w:r>
        <w:rPr>
          <w:sz w:val="20"/>
          <w:szCs w:val="20"/>
        </w:rPr>
        <w:drawing>
          <wp:anchor behindDoc="0" distT="0" distB="0" distL="0" distR="0" simplePos="0" locked="0" layoutInCell="0" allowOverlap="1" relativeHeight="2">
            <wp:simplePos x="0" y="0"/>
            <wp:positionH relativeFrom="column">
              <wp:align>center</wp:align>
            </wp:positionH>
            <wp:positionV relativeFrom="paragraph">
              <wp:align>top</wp:align>
            </wp:positionV>
            <wp:extent cx="9565005" cy="672147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9565005" cy="6721475"/>
                    </a:xfrm>
                    <a:prstGeom prst="rect">
                      <a:avLst/>
                    </a:prstGeom>
                  </pic:spPr>
                </pic:pic>
              </a:graphicData>
            </a:graphic>
          </wp:anchor>
        </w:drawing>
      </w:r>
    </w:p>
    <w:p>
      <w:pPr>
        <w:pStyle w:val="Normal"/>
        <w:spacing w:lineRule="auto" w:line="240" w:before="0" w:after="0"/>
        <w:ind w:right="539" w:hanging="0"/>
        <w:jc w:val="center"/>
        <w:rPr>
          <w:rFonts w:ascii="Times New Roman" w:hAnsi="Times New Roman"/>
          <w:sz w:val="24"/>
          <w:szCs w:val="24"/>
        </w:rPr>
      </w:pPr>
      <w:r>
        <w:rPr>
          <w:bCs/>
          <w:color w:val="000000"/>
          <w:sz w:val="24"/>
          <w:szCs w:val="24"/>
        </w:rPr>
        <w:t xml:space="preserve">1. Сведения о достижении показателей </w:t>
      </w:r>
      <w:r>
        <w:rPr>
          <w:sz w:val="24"/>
          <w:szCs w:val="24"/>
        </w:rPr>
        <w:t>муниципальной программы</w:t>
      </w:r>
    </w:p>
    <w:p>
      <w:pPr>
        <w:pStyle w:val="Normal"/>
        <w:spacing w:lineRule="auto" w:line="240" w:before="0" w:after="0"/>
        <w:ind w:right="539" w:hanging="0"/>
        <w:rPr>
          <w:rFonts w:ascii="Times New Roman" w:hAnsi="Times New Roman"/>
          <w:bCs/>
          <w:color w:val="000000"/>
          <w:sz w:val="24"/>
          <w:szCs w:val="24"/>
        </w:rPr>
      </w:pPr>
      <w:r>
        <w:rPr>
          <w:bCs/>
          <w:color w:val="000000"/>
          <w:sz w:val="24"/>
          <w:szCs w:val="24"/>
        </w:rPr>
      </w:r>
    </w:p>
    <w:tbl>
      <w:tblPr>
        <w:tblStyle w:val="aa"/>
        <w:tblW w:w="15135" w:type="dxa"/>
        <w:jc w:val="left"/>
        <w:tblInd w:w="250" w:type="dxa"/>
        <w:tblLayout w:type="fixed"/>
        <w:tblCellMar>
          <w:top w:w="55" w:type="dxa"/>
          <w:left w:w="108" w:type="dxa"/>
          <w:bottom w:w="55" w:type="dxa"/>
          <w:right w:w="108" w:type="dxa"/>
        </w:tblCellMar>
        <w:tblLook w:noVBand="1" w:val="04a0" w:noHBand="0" w:lastColumn="0" w:firstColumn="1" w:lastRow="0" w:firstRow="1"/>
      </w:tblPr>
      <w:tblGrid>
        <w:gridCol w:w="308"/>
        <w:gridCol w:w="1532"/>
        <w:gridCol w:w="1984"/>
        <w:gridCol w:w="993"/>
        <w:gridCol w:w="1135"/>
        <w:gridCol w:w="993"/>
        <w:gridCol w:w="990"/>
        <w:gridCol w:w="1135"/>
        <w:gridCol w:w="1277"/>
        <w:gridCol w:w="1276"/>
        <w:gridCol w:w="1275"/>
        <w:gridCol w:w="1277"/>
        <w:gridCol w:w="959"/>
      </w:tblGrid>
      <w:tr>
        <w:trPr>
          <w:tblHeader w:val="true"/>
          <w:trHeight w:val="793" w:hRule="atLeast"/>
        </w:trPr>
        <w:tc>
          <w:tcPr>
            <w:tcW w:w="308"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w:t>
            </w:r>
          </w:p>
        </w:tc>
        <w:tc>
          <w:tcPr>
            <w:tcW w:w="1532"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Статус фактического/ прогнозного значения за отчетный период</w:t>
            </w:r>
            <w:r>
              <w:rPr>
                <w:rStyle w:val="Style18"/>
                <w:rFonts w:eastAsia="" w:cs="Times New Roman"/>
                <w:b/>
                <w:color w:val="000000"/>
                <w:kern w:val="0"/>
                <w:sz w:val="16"/>
                <w:szCs w:val="16"/>
                <w:lang w:val="ru-RU" w:eastAsia="en-US" w:bidi="ar-SA"/>
              </w:rPr>
              <w:footnoteReference w:id="2"/>
            </w:r>
          </w:p>
        </w:tc>
        <w:tc>
          <w:tcPr>
            <w:tcW w:w="1984"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Наименование показателя</w:t>
            </w:r>
          </w:p>
        </w:tc>
        <w:tc>
          <w:tcPr>
            <w:tcW w:w="993"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Уровень показателя</w:t>
            </w:r>
            <w:bookmarkStart w:id="0" w:name="_Ref129367031"/>
            <w:r>
              <w:rPr>
                <w:rStyle w:val="Style18"/>
                <w:rFonts w:eastAsia="" w:cs="Times New Roman"/>
                <w:b/>
                <w:color w:val="000000"/>
                <w:kern w:val="0"/>
                <w:sz w:val="16"/>
                <w:szCs w:val="16"/>
                <w:lang w:val="ru-RU" w:eastAsia="en-US" w:bidi="ar-SA"/>
              </w:rPr>
              <w:footnoteReference w:id="3"/>
            </w:r>
            <w:bookmarkEnd w:id="0"/>
          </w:p>
        </w:tc>
        <w:tc>
          <w:tcPr>
            <w:tcW w:w="1135"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Признак возрастания/ убывания</w:t>
            </w:r>
            <w:r>
              <w:rPr>
                <w:rStyle w:val="Style18"/>
                <w:rFonts w:eastAsia="" w:cs="Times New Roman"/>
                <w:b/>
                <w:color w:val="000000"/>
                <w:kern w:val="0"/>
                <w:sz w:val="16"/>
                <w:szCs w:val="16"/>
                <w:lang w:val="ru-RU" w:eastAsia="en-US" w:bidi="ar-SA"/>
              </w:rPr>
              <w:footnoteReference w:id="4"/>
            </w:r>
          </w:p>
        </w:tc>
        <w:tc>
          <w:tcPr>
            <w:tcW w:w="993"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Единица измерения (по ОКЕИ)</w:t>
            </w:r>
            <w:r>
              <w:rPr>
                <w:rFonts w:eastAsia="" w:cs="Times New Roman"/>
                <w:b/>
                <w:color w:val="000000"/>
                <w:kern w:val="0"/>
                <w:sz w:val="16"/>
                <w:szCs w:val="16"/>
                <w:vertAlign w:val="superscript"/>
                <w:lang w:val="ru-RU" w:eastAsia="en-US" w:bidi="ar-SA"/>
              </w:rPr>
              <w:t>7</w:t>
            </w:r>
          </w:p>
        </w:tc>
        <w:tc>
          <w:tcPr>
            <w:tcW w:w="990"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kern w:val="0"/>
                <w:sz w:val="16"/>
                <w:szCs w:val="16"/>
                <w:lang w:val="ru-RU" w:eastAsia="en-US" w:bidi="ar-SA"/>
              </w:rPr>
              <w:t>Плановое значение на конец отчетного периода</w:t>
            </w:r>
            <w:r>
              <w:rPr>
                <w:rFonts w:eastAsia="" w:cs="Times New Roman"/>
                <w:b/>
                <w:kern w:val="0"/>
                <w:sz w:val="16"/>
                <w:szCs w:val="16"/>
                <w:vertAlign w:val="superscript"/>
                <w:lang w:val="ru-RU" w:eastAsia="en-US" w:bidi="ar-SA"/>
              </w:rPr>
              <w:t>7</w:t>
            </w:r>
          </w:p>
        </w:tc>
        <w:tc>
          <w:tcPr>
            <w:tcW w:w="1135"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kern w:val="0"/>
                <w:sz w:val="16"/>
                <w:szCs w:val="16"/>
                <w:lang w:val="ru-RU" w:eastAsia="en-US" w:bidi="ar-SA"/>
              </w:rPr>
              <w:t>Фактическое значение на конец отчетного периода</w:t>
            </w:r>
            <w:r>
              <w:rPr>
                <w:rFonts w:eastAsia="" w:cs="Times New Roman"/>
                <w:b/>
                <w:kern w:val="0"/>
                <w:sz w:val="16"/>
                <w:szCs w:val="16"/>
                <w:vertAlign w:val="superscript"/>
                <w:lang w:val="ru-RU" w:eastAsia="en-US" w:bidi="ar-SA"/>
              </w:rPr>
              <w:t>9</w:t>
            </w:r>
          </w:p>
        </w:tc>
        <w:tc>
          <w:tcPr>
            <w:tcW w:w="1277"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sz w:val="16"/>
                <w:szCs w:val="16"/>
              </w:rPr>
            </w:pPr>
            <w:r>
              <w:rPr>
                <w:rFonts w:eastAsia="" w:cs="Times New Roman"/>
                <w:b/>
                <w:kern w:val="0"/>
                <w:sz w:val="16"/>
                <w:szCs w:val="16"/>
                <w:lang w:val="ru-RU" w:eastAsia="en-US" w:bidi="ar-SA"/>
              </w:rPr>
              <w:t>Прогнозное значение на конец отчетного периода</w:t>
            </w:r>
            <w:r>
              <w:rPr>
                <w:rStyle w:val="Style18"/>
                <w:rFonts w:eastAsia="" w:cs="Times New Roman"/>
                <w:b/>
                <w:kern w:val="0"/>
                <w:sz w:val="16"/>
                <w:szCs w:val="16"/>
                <w:lang w:val="ru-RU" w:eastAsia="en-US" w:bidi="ar-SA"/>
              </w:rPr>
              <w:footnoteReference w:id="5"/>
            </w:r>
          </w:p>
        </w:tc>
        <w:tc>
          <w:tcPr>
            <w:tcW w:w="1276"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sz w:val="16"/>
                <w:szCs w:val="16"/>
              </w:rPr>
            </w:pPr>
            <w:r>
              <w:rPr>
                <w:rFonts w:eastAsia="" w:cs="Times New Roman"/>
                <w:b/>
                <w:kern w:val="0"/>
                <w:sz w:val="16"/>
                <w:szCs w:val="16"/>
                <w:lang w:val="ru-RU" w:eastAsia="en-US" w:bidi="ar-SA"/>
              </w:rPr>
              <w:t>Подтверждающий документ</w:t>
            </w:r>
          </w:p>
        </w:tc>
        <w:tc>
          <w:tcPr>
            <w:tcW w:w="1275"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Плановое значение на конец текущего года</w:t>
            </w:r>
            <w:bookmarkStart w:id="1" w:name="_Ref129269405"/>
            <w:r>
              <w:rPr>
                <w:rStyle w:val="Style18"/>
                <w:rFonts w:eastAsia="" w:cs="Times New Roman"/>
                <w:b/>
                <w:color w:val="000000"/>
                <w:kern w:val="0"/>
                <w:sz w:val="16"/>
                <w:szCs w:val="16"/>
                <w:lang w:val="ru-RU" w:eastAsia="en-US" w:bidi="ar-SA"/>
              </w:rPr>
              <w:footnoteReference w:id="6"/>
            </w:r>
            <w:bookmarkEnd w:id="1"/>
          </w:p>
        </w:tc>
        <w:tc>
          <w:tcPr>
            <w:tcW w:w="1277"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Прогнозное значение на конец текущего года</w:t>
            </w:r>
          </w:p>
        </w:tc>
        <w:tc>
          <w:tcPr>
            <w:tcW w:w="9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13" w:right="-113" w:hanging="0"/>
              <w:jc w:val="center"/>
              <w:rPr>
                <w:rFonts w:ascii="Times New Roman" w:hAnsi="Times New Roman"/>
                <w:b/>
                <w:color w:val="000000"/>
                <w:sz w:val="16"/>
                <w:szCs w:val="16"/>
              </w:rPr>
            </w:pPr>
            <w:r>
              <w:rPr>
                <w:rFonts w:eastAsia="" w:cs="Times New Roman"/>
                <w:b/>
                <w:kern w:val="0"/>
                <w:sz w:val="16"/>
                <w:szCs w:val="16"/>
                <w:lang w:val="ru-RU" w:eastAsia="en-US" w:bidi="ar-SA"/>
              </w:rPr>
              <w:t>Комментарий</w:t>
            </w:r>
            <w:bookmarkStart w:id="2" w:name="_Ref129269215"/>
            <w:r>
              <w:rPr>
                <w:rStyle w:val="Style18"/>
                <w:rFonts w:eastAsia="" w:cs="Times New Roman"/>
                <w:b/>
                <w:kern w:val="0"/>
                <w:sz w:val="16"/>
                <w:szCs w:val="16"/>
                <w:lang w:val="ru-RU" w:eastAsia="en-US" w:bidi="ar-SA"/>
              </w:rPr>
              <w:footnoteReference w:id="7"/>
            </w:r>
            <w:bookmarkEnd w:id="2"/>
          </w:p>
        </w:tc>
      </w:tr>
      <w:tr>
        <w:trPr>
          <w:tblHeader w:val="true"/>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en-US" w:eastAsia="en-US" w:bidi="ar-SA"/>
              </w:rPr>
              <w:t>1</w:t>
            </w:r>
          </w:p>
        </w:tc>
        <w:tc>
          <w:tcPr>
            <w:tcW w:w="1532"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2</w:t>
            </w:r>
          </w:p>
        </w:tc>
        <w:tc>
          <w:tcPr>
            <w:tcW w:w="1984"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lang w:val="en-US"/>
              </w:rPr>
            </w:pPr>
            <w:r>
              <w:rPr>
                <w:rFonts w:eastAsia="" w:cs="Times New Roman"/>
                <w:b/>
                <w:color w:val="000000"/>
                <w:kern w:val="0"/>
                <w:sz w:val="16"/>
                <w:szCs w:val="16"/>
                <w:lang w:val="ru-RU" w:eastAsia="en-US" w:bidi="ar-SA"/>
              </w:rPr>
              <w:t>3</w:t>
            </w:r>
          </w:p>
        </w:tc>
        <w:tc>
          <w:tcPr>
            <w:tcW w:w="993"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4</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5</w:t>
            </w:r>
          </w:p>
        </w:tc>
        <w:tc>
          <w:tcPr>
            <w:tcW w:w="993"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6</w:t>
            </w:r>
          </w:p>
        </w:tc>
        <w:tc>
          <w:tcPr>
            <w:tcW w:w="990"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7</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8</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9</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10</w:t>
            </w:r>
          </w:p>
        </w:tc>
        <w:tc>
          <w:tcPr>
            <w:tcW w:w="127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11</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12</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14</w:t>
            </w:r>
          </w:p>
        </w:tc>
      </w:tr>
      <w:tr>
        <w:trPr/>
        <w:tc>
          <w:tcPr>
            <w:tcW w:w="15134" w:type="dxa"/>
            <w:gridSpan w:val="13"/>
            <w:tcBorders>
              <w:left w:val="single" w:sz="4" w:space="0" w:color="000000"/>
              <w:bottom w:val="single" w:sz="4" w:space="0" w:color="000000"/>
              <w:right w:val="single" w:sz="4" w:space="0" w:color="000000"/>
            </w:tcBorders>
          </w:tcPr>
          <w:p>
            <w:pPr>
              <w:pStyle w:val="Normal"/>
              <w:widowControl w:val="false"/>
              <w:spacing w:lineRule="auto" w:line="240" w:before="0" w:after="0"/>
              <w:ind w:left="0" w:right="0" w:hanging="0"/>
              <w:jc w:val="left"/>
              <w:rPr>
                <w:rFonts w:ascii="Times New Roman" w:hAnsi="Times New Roman"/>
                <w:sz w:val="18"/>
                <w:szCs w:val="18"/>
              </w:rPr>
            </w:pPr>
            <w:r>
              <w:rPr>
                <w:rFonts w:eastAsia="Times New Roman" w:cs="Times New Roman"/>
                <w:spacing w:val="-2"/>
                <w:sz w:val="18"/>
                <w:szCs w:val="18"/>
              </w:rPr>
              <w:t>Цель «Повышение к 2030 году качества городской среды территорий муниципальных образований на территории Красногвардейского района уровню 2019 года на 30 процентов»</w:t>
            </w:r>
          </w:p>
        </w:tc>
      </w:tr>
      <w:tr>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rFonts w:eastAsia="" w:cs="Times New Roman"/>
                <w:color w:val="000000"/>
                <w:kern w:val="0"/>
                <w:sz w:val="16"/>
                <w:szCs w:val="16"/>
                <w:lang w:val="ru-RU" w:eastAsia="en-US" w:bidi="ar-SA"/>
              </w:rPr>
              <w:t>1.</w:t>
            </w:r>
          </w:p>
        </w:tc>
        <w:tc>
          <w:tcPr>
            <w:tcW w:w="1532" w:type="dxa"/>
            <w:tcBorders>
              <w:left w:val="single" w:sz="4" w:space="0" w:color="000000"/>
              <w:bottom w:val="single" w:sz="4" w:space="0" w:color="000000"/>
            </w:tcBorders>
            <w:shd w:fill="5EB91E" w:val="clear"/>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Исполнено</w:t>
            </w:r>
          </w:p>
        </w:tc>
        <w:tc>
          <w:tcPr>
            <w:tcW w:w="1984" w:type="dxa"/>
            <w:tcBorders>
              <w:left w:val="single" w:sz="4" w:space="0" w:color="000000"/>
              <w:bottom w:val="single" w:sz="4" w:space="0" w:color="000000"/>
            </w:tcBorders>
            <w:vAlign w:val="center"/>
          </w:tcPr>
          <w:p>
            <w:pPr>
              <w:pStyle w:val="Normal"/>
              <w:widowControl w:val="false"/>
              <w:suppressAutoHyphens w:val="true"/>
              <w:bidi w:val="0"/>
              <w:spacing w:lineRule="auto" w:line="240" w:before="0" w:after="0"/>
              <w:ind w:left="0" w:right="0" w:hanging="0"/>
              <w:jc w:val="both"/>
              <w:rPr>
                <w:rFonts w:ascii="Times New Roman" w:hAnsi="Times New Roman"/>
                <w:sz w:val="18"/>
                <w:szCs w:val="18"/>
              </w:rPr>
            </w:pPr>
            <w:r>
              <w:rPr>
                <w:rFonts w:eastAsia="Times New Roman" w:cs="Times New Roman"/>
                <w:color w:val="000000"/>
                <w:spacing w:val="-2"/>
                <w:kern w:val="0"/>
                <w:sz w:val="18"/>
                <w:szCs w:val="18"/>
                <w:lang w:val="ru-RU" w:eastAsia="en-US" w:bidi="ar-SA"/>
              </w:rPr>
              <w:t xml:space="preserve">Прирост среднего индекса качества городской среды </w:t>
              <w:br/>
              <w:t xml:space="preserve">по отношению </w:t>
              <w:br/>
              <w:t>к 2019 году</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rFonts w:eastAsia="Times New Roman" w:cs="Times New Roman"/>
                <w:spacing w:val="-2"/>
                <w:sz w:val="18"/>
                <w:szCs w:val="18"/>
              </w:rPr>
              <w:t>ГП РФ</w:t>
            </w:r>
          </w:p>
          <w:p>
            <w:pPr>
              <w:pStyle w:val="Normal"/>
              <w:widowControl w:val="false"/>
              <w:spacing w:lineRule="auto" w:line="240" w:before="0" w:after="0"/>
              <w:ind w:left="0" w:right="0" w:hanging="0"/>
              <w:jc w:val="center"/>
              <w:rPr>
                <w:rFonts w:ascii="Times New Roman" w:hAnsi="Times New Roman"/>
                <w:sz w:val="18"/>
                <w:szCs w:val="18"/>
              </w:rPr>
            </w:pPr>
            <w:r>
              <w:rPr>
                <w:rFonts w:eastAsia="Times New Roman" w:cs="Times New Roman"/>
                <w:spacing w:val="-2"/>
                <w:sz w:val="18"/>
                <w:szCs w:val="18"/>
              </w:rPr>
              <w:t>ВДЛ</w:t>
            </w:r>
          </w:p>
          <w:p>
            <w:pPr>
              <w:pStyle w:val="Normal"/>
              <w:widowControl w:val="false"/>
              <w:spacing w:lineRule="auto" w:line="240" w:before="0" w:after="0"/>
              <w:ind w:left="0" w:right="0" w:hanging="0"/>
              <w:jc w:val="center"/>
              <w:rPr>
                <w:rFonts w:ascii="Times New Roman" w:hAnsi="Times New Roman"/>
                <w:sz w:val="18"/>
                <w:szCs w:val="18"/>
              </w:rPr>
            </w:pPr>
            <w:r>
              <w:rPr>
                <w:rFonts w:eastAsia="Times New Roman" w:cs="Times New Roman"/>
                <w:spacing w:val="-2"/>
                <w:sz w:val="18"/>
                <w:szCs w:val="18"/>
              </w:rPr>
              <w:t>ГП</w:t>
            </w:r>
          </w:p>
        </w:tc>
        <w:tc>
          <w:tcPr>
            <w:tcW w:w="1135" w:type="dxa"/>
            <w:tcBorders>
              <w:left w:val="single" w:sz="4" w:space="0" w:color="000000"/>
              <w:bottom w:val="single" w:sz="4" w:space="0" w:color="000000"/>
            </w:tcBorders>
          </w:tcPr>
          <w:p>
            <w:pPr>
              <w:pStyle w:val="Normal"/>
              <w:widowControl w:val="false"/>
              <w:spacing w:lineRule="auto" w:line="240" w:before="0" w:after="0"/>
              <w:ind w:left="0" w:right="0" w:hanging="0"/>
              <w:jc w:val="left"/>
              <w:rPr>
                <w:rFonts w:ascii="Times New Roman" w:hAnsi="Times New Roman" w:eastAsia="Times New Roman" w:cs="Times New Roman"/>
                <w:spacing w:val="-2"/>
                <w:sz w:val="18"/>
                <w:szCs w:val="18"/>
              </w:rPr>
            </w:pPr>
            <w:r>
              <w:rPr>
                <w:rFonts w:eastAsia="Times New Roman" w:cs="Times New Roman"/>
                <w:spacing w:val="-2"/>
                <w:sz w:val="18"/>
                <w:szCs w:val="18"/>
              </w:rPr>
              <w:t>Прогрессирующий</w:t>
            </w:r>
          </w:p>
        </w:tc>
        <w:tc>
          <w:tcPr>
            <w:tcW w:w="993"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left"/>
              <w:rPr>
                <w:rFonts w:ascii="Times New Roman" w:hAnsi="Times New Roman"/>
                <w:sz w:val="18"/>
                <w:szCs w:val="18"/>
              </w:rPr>
            </w:pPr>
            <w:r>
              <w:rPr>
                <w:rFonts w:cs="Tinos"/>
                <w:kern w:val="0"/>
                <w:sz w:val="18"/>
                <w:szCs w:val="18"/>
                <w:lang w:val="ru-RU" w:bidi="ar-SA"/>
              </w:rPr>
              <w:t>Процент</w:t>
            </w:r>
          </w:p>
        </w:tc>
        <w:tc>
          <w:tcPr>
            <w:tcW w:w="990"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18"/>
                <w:szCs w:val="18"/>
              </w:rPr>
            </w:pPr>
            <w:r>
              <w:rPr>
                <w:sz w:val="18"/>
                <w:szCs w:val="18"/>
              </w:rPr>
              <w:t xml:space="preserve"> </w:t>
            </w:r>
            <w:r>
              <w:rPr>
                <w:sz w:val="18"/>
                <w:szCs w:val="18"/>
              </w:rPr>
              <w:t>1</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sz w:val="18"/>
                <w:szCs w:val="18"/>
              </w:rPr>
            </w:pPr>
            <w:r>
              <w:rPr>
                <w:sz w:val="18"/>
                <w:szCs w:val="18"/>
              </w:rPr>
              <w:t>1</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18"/>
                <w:szCs w:val="18"/>
              </w:rPr>
            </w:pPr>
            <w:r>
              <w:rPr>
                <w:sz w:val="18"/>
                <w:szCs w:val="18"/>
              </w:rPr>
              <w:t xml:space="preserve"> </w:t>
            </w:r>
            <w:r>
              <w:rPr>
                <w:sz w:val="18"/>
                <w:szCs w:val="18"/>
              </w:rPr>
              <w:t>1</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https://индекс-городов.рф/#/</w:t>
            </w:r>
          </w:p>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c>
          <w:tcPr>
            <w:tcW w:w="1275"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18"/>
                <w:szCs w:val="18"/>
              </w:rPr>
            </w:pPr>
            <w:r>
              <w:rPr>
                <w:rFonts w:cs="Tinos"/>
                <w:kern w:val="0"/>
                <w:sz w:val="18"/>
                <w:szCs w:val="18"/>
                <w:lang w:val="ru-RU" w:bidi="ar-SA"/>
              </w:rPr>
              <w:t>1,5</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center"/>
              <w:rPr>
                <w:rFonts w:ascii="Times New Roman" w:hAnsi="Times New Roman"/>
                <w:sz w:val="18"/>
                <w:szCs w:val="18"/>
              </w:rPr>
            </w:pPr>
            <w:r>
              <w:rPr>
                <w:rFonts w:cs="Tinos"/>
                <w:kern w:val="0"/>
                <w:sz w:val="18"/>
                <w:szCs w:val="18"/>
                <w:lang w:val="ru-RU" w:bidi="ar-SA"/>
              </w:rPr>
              <w:t>1,5</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r>
      <w:tr>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right="-57" w:hanging="0"/>
              <w:jc w:val="center"/>
              <w:rPr>
                <w:sz w:val="18"/>
                <w:szCs w:val="18"/>
              </w:rPr>
            </w:pPr>
            <w:r>
              <w:rPr>
                <w:sz w:val="18"/>
                <w:szCs w:val="18"/>
              </w:rPr>
              <w:t>2.</w:t>
            </w:r>
          </w:p>
        </w:tc>
        <w:tc>
          <w:tcPr>
            <w:tcW w:w="1532" w:type="dxa"/>
            <w:tcBorders>
              <w:left w:val="single" w:sz="4" w:space="0" w:color="000000"/>
              <w:bottom w:val="single" w:sz="4" w:space="0" w:color="000000"/>
            </w:tcBorders>
            <w:shd w:fill="5EB91E" w:val="clear"/>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Исполнено:</w:t>
            </w:r>
          </w:p>
          <w:p>
            <w:pPr>
              <w:pStyle w:val="Normal"/>
              <w:widowControl w:val="false"/>
              <w:suppressAutoHyphens w:val="true"/>
              <w:spacing w:lineRule="auto" w:line="240" w:before="0" w:after="0"/>
              <w:ind w:left="-57" w:right="-57" w:hanging="0"/>
              <w:jc w:val="center"/>
              <w:rPr>
                <w:sz w:val="16"/>
                <w:szCs w:val="16"/>
              </w:rPr>
            </w:pPr>
            <w:r>
              <w:rPr>
                <w:color w:val="000000"/>
                <w:sz w:val="16"/>
                <w:szCs w:val="16"/>
              </w:rPr>
              <w:t xml:space="preserve">1. </w:t>
            </w:r>
            <w:r>
              <w:rPr>
                <w:b w:val="false"/>
                <w:i w:val="false"/>
                <w:strike w:val="false"/>
                <w:dstrike w:val="false"/>
                <w:outline w:val="false"/>
                <w:shadow w:val="false"/>
                <w:color w:val="000000"/>
                <w:sz w:val="16"/>
                <w:szCs w:val="16"/>
                <w:u w:val="none"/>
                <w:em w:val="none"/>
              </w:rPr>
              <w:t>Благоустройство общественной территории «Концепция развития Соборной площади города Бирюч Белгородской области «Бирюченские ряды»;</w:t>
            </w:r>
          </w:p>
          <w:p>
            <w:pPr>
              <w:pStyle w:val="Normal"/>
              <w:widowControl w:val="false"/>
              <w:suppressAutoHyphens w:val="true"/>
              <w:spacing w:lineRule="auto" w:line="240" w:before="0" w:after="0"/>
              <w:ind w:left="-57" w:right="-57" w:hanging="0"/>
              <w:jc w:val="center"/>
              <w:rPr/>
            </w:pPr>
            <w:r>
              <w:rPr>
                <w:b w:val="false"/>
                <w:i w:val="false"/>
                <w:strike w:val="false"/>
                <w:dstrike w:val="false"/>
                <w:outline w:val="false"/>
                <w:shadow w:val="false"/>
                <w:color w:val="000000"/>
                <w:sz w:val="16"/>
                <w:szCs w:val="16"/>
                <w:u w:val="none"/>
                <w:em w:val="none"/>
              </w:rPr>
              <w:t>2. Б</w:t>
            </w:r>
            <w:r>
              <w:rPr>
                <w:b w:val="false"/>
                <w:i w:val="false"/>
                <w:strike w:val="false"/>
                <w:dstrike w:val="false"/>
                <w:outline w:val="false"/>
                <w:shadow w:val="false"/>
                <w:sz w:val="16"/>
                <w:szCs w:val="16"/>
                <w:u w:val="none"/>
                <w:em w:val="none"/>
              </w:rPr>
              <w:t>лагоустройство общественной территории «Центральный парк отдыха имени В.И. Ленина в г. Бирюч;</w:t>
            </w:r>
          </w:p>
          <w:p>
            <w:pPr>
              <w:pStyle w:val="Normal"/>
              <w:widowControl w:val="false"/>
              <w:suppressAutoHyphens w:val="true"/>
              <w:spacing w:lineRule="auto" w:line="240" w:before="0" w:after="0"/>
              <w:ind w:left="-57" w:right="-57" w:hanging="0"/>
              <w:jc w:val="center"/>
              <w:rPr/>
            </w:pPr>
            <w:r>
              <w:rPr>
                <w:b w:val="false"/>
                <w:i w:val="false"/>
                <w:strike w:val="false"/>
                <w:dstrike w:val="false"/>
                <w:outline w:val="false"/>
                <w:shadow w:val="false"/>
                <w:sz w:val="16"/>
                <w:szCs w:val="16"/>
                <w:u w:val="none"/>
                <w:em w:val="none"/>
              </w:rPr>
              <w:t xml:space="preserve">3. </w:t>
            </w:r>
            <w:r>
              <w:rPr>
                <w:b w:val="false"/>
                <w:i w:val="false"/>
                <w:strike w:val="false"/>
                <w:dstrike w:val="false"/>
                <w:outline w:val="false"/>
                <w:shadow w:val="false"/>
                <w:color w:val="000000"/>
                <w:sz w:val="18"/>
                <w:szCs w:val="16"/>
                <w:u w:val="none"/>
                <w:em w:val="none"/>
              </w:rPr>
              <w:t xml:space="preserve"> </w:t>
            </w:r>
            <w:r>
              <w:rPr>
                <w:b w:val="false"/>
                <w:i w:val="false"/>
                <w:strike w:val="false"/>
                <w:dstrike w:val="false"/>
                <w:outline w:val="false"/>
                <w:shadow w:val="false"/>
                <w:color w:val="000000"/>
                <w:sz w:val="16"/>
                <w:szCs w:val="16"/>
                <w:u w:val="none"/>
                <w:em w:val="none"/>
              </w:rPr>
              <w:t>Благоустройство общественной территории Территория прилегающая к Дендропарку в г. Бирюч;</w:t>
            </w:r>
          </w:p>
          <w:p>
            <w:pPr>
              <w:pStyle w:val="Normal"/>
              <w:widowControl w:val="false"/>
              <w:suppressAutoHyphens w:val="true"/>
              <w:spacing w:lineRule="auto" w:line="240" w:before="0" w:after="0"/>
              <w:ind w:left="-57" w:right="-57" w:hanging="0"/>
              <w:jc w:val="center"/>
              <w:rPr/>
            </w:pPr>
            <w:r>
              <w:rPr>
                <w:b w:val="false"/>
                <w:i w:val="false"/>
                <w:strike w:val="false"/>
                <w:dstrike w:val="false"/>
                <w:outline w:val="false"/>
                <w:shadow w:val="false"/>
                <w:color w:val="000000"/>
                <w:sz w:val="16"/>
                <w:szCs w:val="16"/>
                <w:u w:val="none"/>
                <w:em w:val="none"/>
              </w:rPr>
              <w:t>4. Благоустройство дворовой территории по адресу: г.Бирюч, ул.Красная, д. 9,9б;</w:t>
            </w:r>
          </w:p>
          <w:p>
            <w:pPr>
              <w:pStyle w:val="Normal"/>
              <w:widowControl w:val="false"/>
              <w:suppressAutoHyphens w:val="true"/>
              <w:spacing w:lineRule="auto" w:line="240" w:before="0" w:after="0"/>
              <w:ind w:left="-57" w:right="-57" w:hanging="0"/>
              <w:jc w:val="center"/>
              <w:rPr/>
            </w:pPr>
            <w:r>
              <w:rPr>
                <w:b w:val="false"/>
                <w:i w:val="false"/>
                <w:strike w:val="false"/>
                <w:dstrike w:val="false"/>
                <w:outline w:val="false"/>
                <w:shadow w:val="false"/>
                <w:color w:val="000000"/>
                <w:sz w:val="16"/>
                <w:szCs w:val="16"/>
                <w:u w:val="none"/>
                <w:em w:val="none"/>
              </w:rPr>
              <w:t>5. Благоустройство дворовой территории по адресу: г.Бирюч, ул.Крупской, д. 43, 45, 47, 49;</w:t>
            </w:r>
          </w:p>
          <w:p>
            <w:pPr>
              <w:pStyle w:val="Normal"/>
              <w:widowControl w:val="false"/>
              <w:suppressAutoHyphens w:val="true"/>
              <w:spacing w:lineRule="auto" w:line="240" w:before="0" w:after="0"/>
              <w:ind w:left="-57" w:right="-57" w:hanging="0"/>
              <w:jc w:val="center"/>
              <w:rPr/>
            </w:pPr>
            <w:r>
              <w:rPr>
                <w:b w:val="false"/>
                <w:i w:val="false"/>
                <w:strike w:val="false"/>
                <w:dstrike w:val="false"/>
                <w:outline w:val="false"/>
                <w:shadow w:val="false"/>
                <w:color w:val="000000"/>
                <w:sz w:val="16"/>
                <w:szCs w:val="16"/>
                <w:u w:val="none"/>
                <w:em w:val="none"/>
              </w:rPr>
              <w:t>6. Благоустройство дворовой территории по адресу: г.Бирюч, ул.Крупской, д. 25а.</w:t>
            </w:r>
          </w:p>
          <w:p>
            <w:pPr>
              <w:pStyle w:val="Normal"/>
              <w:widowControl w:val="false"/>
              <w:suppressAutoHyphens w:val="true"/>
              <w:spacing w:lineRule="auto" w:line="240" w:before="0" w:after="0"/>
              <w:ind w:left="-57" w:right="-57" w:hanging="0"/>
              <w:jc w:val="center"/>
              <w:rPr>
                <w:rFonts w:ascii="Times New Roman" w:hAnsi="Times New Roman"/>
                <w:b w:val="false"/>
                <w:i w:val="false"/>
                <w:i w:val="false"/>
                <w:strike w:val="false"/>
                <w:dstrike w:val="false"/>
                <w:outline w:val="false"/>
                <w:shadow w:val="false"/>
                <w:sz w:val="16"/>
                <w:szCs w:val="16"/>
                <w:u w:val="none"/>
                <w:em w:val="none"/>
              </w:rPr>
            </w:pPr>
            <w:r>
              <w:rPr>
                <w:b w:val="false"/>
                <w:i w:val="false"/>
                <w:strike w:val="false"/>
                <w:dstrike w:val="false"/>
                <w:outline w:val="false"/>
                <w:shadow w:val="false"/>
                <w:sz w:val="16"/>
                <w:szCs w:val="16"/>
                <w:u w:val="none"/>
                <w:em w:val="none"/>
              </w:rPr>
            </w:r>
          </w:p>
          <w:p>
            <w:pPr>
              <w:pStyle w:val="Normal"/>
              <w:widowControl w:val="false"/>
              <w:suppressAutoHyphens w:val="true"/>
              <w:spacing w:lineRule="auto" w:line="240" w:before="0" w:after="0"/>
              <w:ind w:left="-57" w:right="-57" w:hanging="0"/>
              <w:jc w:val="center"/>
              <w:rPr>
                <w:rFonts w:ascii="Times New Roman" w:hAnsi="Times New Roman"/>
                <w:b w:val="false"/>
                <w:i w:val="false"/>
                <w:i w:val="false"/>
                <w:strike w:val="false"/>
                <w:dstrike w:val="false"/>
                <w:outline w:val="false"/>
                <w:shadow w:val="false"/>
                <w:color w:val="000000"/>
                <w:u w:val="none"/>
                <w:em w:val="none"/>
              </w:rPr>
            </w:pPr>
            <w:r>
              <w:rPr>
                <w:b w:val="false"/>
                <w:i w:val="false"/>
                <w:strike w:val="false"/>
                <w:dstrike w:val="false"/>
                <w:outline w:val="false"/>
                <w:shadow w:val="false"/>
                <w:color w:val="000000"/>
                <w:u w:val="none"/>
                <w:em w:val="none"/>
              </w:rPr>
            </w:r>
          </w:p>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c>
          <w:tcPr>
            <w:tcW w:w="1984" w:type="dxa"/>
            <w:tcBorders>
              <w:left w:val="single" w:sz="4" w:space="0" w:color="000000"/>
              <w:bottom w:val="single" w:sz="4" w:space="0" w:color="000000"/>
            </w:tcBorders>
          </w:tcPr>
          <w:p>
            <w:pPr>
              <w:pStyle w:val="Normal"/>
              <w:widowControl w:val="false"/>
              <w:spacing w:lineRule="auto" w:line="240" w:before="0" w:after="0"/>
              <w:ind w:left="0" w:right="0" w:hanging="0"/>
              <w:jc w:val="both"/>
              <w:rPr>
                <w:rFonts w:ascii="Times New Roman" w:hAnsi="Times New Roman" w:eastAsia="Times New Roman" w:cs="Times New Roman"/>
                <w:spacing w:val="-2"/>
                <w:sz w:val="18"/>
                <w:szCs w:val="18"/>
              </w:rPr>
            </w:pPr>
            <w:r>
              <w:rPr>
                <w:rFonts w:eastAsia="Times New Roman" w:cs="Times New Roman"/>
                <w:spacing w:val="-2"/>
                <w:sz w:val="18"/>
                <w:szCs w:val="18"/>
              </w:rPr>
              <w:t xml:space="preserve">Количество реализованных мероприятий </w:t>
              <w:br/>
              <w:t>по благоустройству территорий Красногвардейского района</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ГП РФ</w:t>
            </w:r>
          </w:p>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ГП</w:t>
            </w:r>
          </w:p>
        </w:tc>
        <w:tc>
          <w:tcPr>
            <w:tcW w:w="1135" w:type="dxa"/>
            <w:tcBorders>
              <w:left w:val="single" w:sz="4" w:space="0" w:color="000000"/>
              <w:bottom w:val="single" w:sz="4" w:space="0" w:color="000000"/>
            </w:tcBorders>
          </w:tcPr>
          <w:p>
            <w:pPr>
              <w:pStyle w:val="Normal"/>
              <w:widowControl w:val="false"/>
              <w:spacing w:lineRule="auto" w:line="240" w:before="0" w:after="0"/>
              <w:ind w:left="0" w:right="0" w:hanging="0"/>
              <w:jc w:val="left"/>
              <w:rPr>
                <w:rFonts w:ascii="Times New Roman" w:hAnsi="Times New Roman" w:eastAsia="Times New Roman" w:cs="Times New Roman"/>
                <w:spacing w:val="-2"/>
                <w:sz w:val="18"/>
                <w:szCs w:val="18"/>
              </w:rPr>
            </w:pPr>
            <w:r>
              <w:rPr>
                <w:rFonts w:eastAsia="Times New Roman" w:cs="Times New Roman"/>
                <w:spacing w:val="-2"/>
                <w:sz w:val="18"/>
                <w:szCs w:val="18"/>
              </w:rPr>
              <w:t>Прогрессирующий</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Единица</w:t>
            </w:r>
          </w:p>
        </w:tc>
        <w:tc>
          <w:tcPr>
            <w:tcW w:w="990"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6</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6</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6</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Акты выполненных работ</w:t>
            </w:r>
          </w:p>
        </w:tc>
        <w:tc>
          <w:tcPr>
            <w:tcW w:w="1275"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r>
      <w:tr>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rFonts w:eastAsia="" w:cs="Times New Roman"/>
                <w:color w:val="000000"/>
                <w:kern w:val="0"/>
                <w:sz w:val="16"/>
                <w:szCs w:val="16"/>
                <w:lang w:val="en-US" w:eastAsia="en-US" w:bidi="ar-SA"/>
              </w:rPr>
              <w:t>3.</w:t>
            </w:r>
          </w:p>
        </w:tc>
        <w:tc>
          <w:tcPr>
            <w:tcW w:w="1532" w:type="dxa"/>
            <w:tcBorders>
              <w:left w:val="single" w:sz="4" w:space="0" w:color="000000"/>
              <w:bottom w:val="single" w:sz="4" w:space="0" w:color="000000"/>
            </w:tcBorders>
            <w:shd w:fill="5EB91E" w:val="clear"/>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Исполнено</w:t>
            </w:r>
          </w:p>
        </w:tc>
        <w:tc>
          <w:tcPr>
            <w:tcW w:w="1984" w:type="dxa"/>
            <w:tcBorders>
              <w:left w:val="single" w:sz="4" w:space="0" w:color="000000"/>
              <w:bottom w:val="single" w:sz="4" w:space="0" w:color="000000"/>
            </w:tcBorders>
            <w:vAlign w:val="center"/>
          </w:tcPr>
          <w:p>
            <w:pPr>
              <w:pStyle w:val="Normal"/>
              <w:widowControl w:val="false"/>
              <w:spacing w:lineRule="auto" w:line="240" w:before="0" w:after="0"/>
              <w:ind w:left="0" w:right="0" w:hanging="0"/>
              <w:jc w:val="both"/>
              <w:rPr>
                <w:rFonts w:ascii="Times New Roman" w:hAnsi="Times New Roman" w:eastAsia="Times New Roman" w:cs="Times New Roman"/>
                <w:spacing w:val="-2"/>
                <w:sz w:val="18"/>
                <w:szCs w:val="18"/>
              </w:rPr>
            </w:pPr>
            <w:r>
              <w:rPr>
                <w:rFonts w:eastAsia="Times New Roman" w:cs="Times New Roman"/>
                <w:color w:val="000000"/>
                <w:kern w:val="0"/>
                <w:sz w:val="18"/>
                <w:szCs w:val="18"/>
                <w:lang w:val="en-US" w:eastAsia="ru-RU" w:bidi="ar-SA"/>
              </w:rPr>
              <w:t xml:space="preserve">Количество светоточек </w:t>
              <w:br/>
              <w:t>на территории населенных пунктов Красногвардейского района</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ГП</w:t>
            </w:r>
          </w:p>
        </w:tc>
        <w:tc>
          <w:tcPr>
            <w:tcW w:w="1135" w:type="dxa"/>
            <w:tcBorders>
              <w:left w:val="single" w:sz="4" w:space="0" w:color="000000"/>
              <w:bottom w:val="single" w:sz="4" w:space="0" w:color="000000"/>
            </w:tcBorders>
          </w:tcPr>
          <w:p>
            <w:pPr>
              <w:pStyle w:val="Normal"/>
              <w:widowControl w:val="false"/>
              <w:spacing w:lineRule="auto" w:line="240" w:before="0" w:after="0"/>
              <w:ind w:left="0" w:right="0" w:hanging="0"/>
              <w:jc w:val="left"/>
              <w:rPr>
                <w:rFonts w:ascii="Times New Roman" w:hAnsi="Times New Roman" w:eastAsia="Times New Roman" w:cs="Times New Roman"/>
                <w:spacing w:val="-2"/>
                <w:sz w:val="18"/>
                <w:szCs w:val="18"/>
              </w:rPr>
            </w:pPr>
            <w:r>
              <w:rPr>
                <w:rFonts w:eastAsia="Times New Roman" w:cs="Times New Roman"/>
                <w:spacing w:val="-2"/>
                <w:sz w:val="18"/>
                <w:szCs w:val="18"/>
              </w:rPr>
              <w:t>Прогрессирующий</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z w:val="18"/>
                <w:szCs w:val="18"/>
                <w:lang w:eastAsia="ru-RU"/>
              </w:rPr>
              <w:t>Тыс. единиц</w:t>
            </w:r>
          </w:p>
        </w:tc>
        <w:tc>
          <w:tcPr>
            <w:tcW w:w="990"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5,646</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5,646</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5,646</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Инвентаризация светоточек</w:t>
            </w:r>
          </w:p>
        </w:tc>
        <w:tc>
          <w:tcPr>
            <w:tcW w:w="1275"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r>
      <w:tr>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4.</w:t>
            </w:r>
          </w:p>
        </w:tc>
        <w:tc>
          <w:tcPr>
            <w:tcW w:w="1532" w:type="dxa"/>
            <w:tcBorders>
              <w:left w:val="single" w:sz="4" w:space="0" w:color="000000"/>
              <w:bottom w:val="single" w:sz="4" w:space="0" w:color="000000"/>
            </w:tcBorders>
            <w:shd w:fill="5EB91E" w:val="clear"/>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Исполнено</w:t>
            </w:r>
          </w:p>
        </w:tc>
        <w:tc>
          <w:tcPr>
            <w:tcW w:w="1984" w:type="dxa"/>
            <w:tcBorders>
              <w:left w:val="single" w:sz="4" w:space="0" w:color="000000"/>
              <w:bottom w:val="single" w:sz="4" w:space="0" w:color="000000"/>
            </w:tcBorders>
            <w:vAlign w:val="center"/>
          </w:tcPr>
          <w:p>
            <w:pPr>
              <w:pStyle w:val="Normal"/>
              <w:widowControl w:val="false"/>
              <w:spacing w:lineRule="auto" w:line="240" w:before="0" w:after="0"/>
              <w:ind w:left="0" w:right="0" w:hanging="0"/>
              <w:jc w:val="left"/>
              <w:rPr>
                <w:highlight w:val="none"/>
                <w:shd w:fill="auto" w:val="clear"/>
              </w:rPr>
            </w:pPr>
            <w:r>
              <w:rPr>
                <w:sz w:val="18"/>
                <w:shd w:fill="auto" w:val="clear"/>
                <w:lang w:eastAsia="ru-RU"/>
              </w:rPr>
              <w:t>Доля компенсационных расходов  на предоставление государственных гарантий  от фактически предоставленных услуг</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ГП</w:t>
            </w:r>
          </w:p>
        </w:tc>
        <w:tc>
          <w:tcPr>
            <w:tcW w:w="1135" w:type="dxa"/>
            <w:tcBorders>
              <w:left w:val="single" w:sz="4" w:space="0" w:color="000000"/>
              <w:bottom w:val="single" w:sz="4" w:space="0" w:color="000000"/>
            </w:tcBorders>
          </w:tcPr>
          <w:p>
            <w:pPr>
              <w:pStyle w:val="Normal"/>
              <w:widowControl w:val="false"/>
              <w:spacing w:lineRule="auto" w:line="240" w:before="0" w:after="0"/>
              <w:ind w:left="0" w:right="0" w:hanging="0"/>
              <w:jc w:val="left"/>
              <w:rPr>
                <w:rFonts w:ascii="Times New Roman" w:hAnsi="Times New Roman" w:eastAsia="Times New Roman" w:cs="Times New Roman"/>
                <w:spacing w:val="-2"/>
                <w:sz w:val="18"/>
                <w:szCs w:val="18"/>
              </w:rPr>
            </w:pPr>
            <w:r>
              <w:rPr>
                <w:rFonts w:eastAsia="Times New Roman" w:cs="Times New Roman"/>
                <w:spacing w:val="-2"/>
                <w:sz w:val="18"/>
                <w:szCs w:val="18"/>
              </w:rPr>
              <w:t>Прогрессирующий</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Процент</w:t>
            </w:r>
          </w:p>
        </w:tc>
        <w:tc>
          <w:tcPr>
            <w:tcW w:w="990"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100</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100</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100</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Акт о израсходованных средствах</w:t>
            </w:r>
          </w:p>
        </w:tc>
        <w:tc>
          <w:tcPr>
            <w:tcW w:w="1275"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100</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100</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r>
      <w:tr>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5.</w:t>
            </w:r>
          </w:p>
        </w:tc>
        <w:tc>
          <w:tcPr>
            <w:tcW w:w="1532" w:type="dxa"/>
            <w:tcBorders>
              <w:left w:val="single" w:sz="4" w:space="0" w:color="000000"/>
              <w:bottom w:val="single" w:sz="4" w:space="0" w:color="000000"/>
            </w:tcBorders>
            <w:shd w:fill="5EB91E" w:val="clear"/>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Исполнено</w:t>
            </w:r>
          </w:p>
        </w:tc>
        <w:tc>
          <w:tcPr>
            <w:tcW w:w="1984" w:type="dxa"/>
            <w:tcBorders>
              <w:left w:val="single" w:sz="4" w:space="0" w:color="000000"/>
              <w:bottom w:val="single" w:sz="4" w:space="0" w:color="000000"/>
            </w:tcBorders>
            <w:vAlign w:val="center"/>
          </w:tcPr>
          <w:p>
            <w:pPr>
              <w:pStyle w:val="Normal"/>
              <w:widowControl w:val="false"/>
              <w:spacing w:lineRule="auto" w:line="240" w:before="0" w:after="0"/>
              <w:ind w:left="0" w:right="0" w:hanging="0"/>
              <w:jc w:val="both"/>
              <w:rPr>
                <w:highlight w:val="none"/>
                <w:shd w:fill="auto" w:val="clear"/>
              </w:rPr>
            </w:pPr>
            <w:r>
              <w:rPr>
                <w:rFonts w:eastAsia="Times New Roman" w:cs="Times New Roman"/>
                <w:sz w:val="18"/>
                <w:szCs w:val="18"/>
                <w:shd w:fill="auto" w:val="clear"/>
                <w:lang w:eastAsia="ru-RU"/>
              </w:rPr>
              <w:t xml:space="preserve">Количество реализованных проектов </w:t>
              <w:br/>
              <w:t>для повышения уровня жизни граждан</w:t>
            </w:r>
          </w:p>
          <w:p>
            <w:pPr>
              <w:pStyle w:val="Normal"/>
              <w:widowControl w:val="false"/>
              <w:spacing w:lineRule="auto" w:line="240" w:before="0" w:after="0"/>
              <w:ind w:left="0" w:right="0" w:hanging="0"/>
              <w:jc w:val="both"/>
              <w:rPr>
                <w:highlight w:val="none"/>
                <w:shd w:fill="auto" w:val="clear"/>
              </w:rPr>
            </w:pPr>
            <w:r>
              <w:rPr>
                <w:rFonts w:eastAsia="Times New Roman" w:cs="Times New Roman"/>
                <w:sz w:val="18"/>
                <w:szCs w:val="18"/>
                <w:lang w:eastAsia="ru-RU"/>
              </w:rPr>
              <w:t>в муниципальном образовании</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ГП</w:t>
            </w:r>
          </w:p>
        </w:tc>
        <w:tc>
          <w:tcPr>
            <w:tcW w:w="1135" w:type="dxa"/>
            <w:tcBorders>
              <w:left w:val="single" w:sz="4" w:space="0" w:color="000000"/>
              <w:bottom w:val="single" w:sz="4" w:space="0" w:color="000000"/>
            </w:tcBorders>
          </w:tcPr>
          <w:p>
            <w:pPr>
              <w:pStyle w:val="Normal"/>
              <w:widowControl w:val="false"/>
              <w:spacing w:lineRule="auto" w:line="240" w:before="0" w:after="0"/>
              <w:ind w:left="0" w:right="0" w:hanging="0"/>
              <w:jc w:val="left"/>
              <w:rPr>
                <w:rFonts w:ascii="Times New Roman" w:hAnsi="Times New Roman" w:eastAsia="Times New Roman" w:cs="Times New Roman"/>
                <w:spacing w:val="-2"/>
                <w:sz w:val="18"/>
                <w:szCs w:val="18"/>
              </w:rPr>
            </w:pPr>
            <w:r>
              <w:rPr>
                <w:rFonts w:eastAsia="Times New Roman" w:cs="Times New Roman"/>
                <w:spacing w:val="-2"/>
                <w:sz w:val="18"/>
                <w:szCs w:val="18"/>
              </w:rPr>
              <w:t>Прогрессирующий</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Единица</w:t>
            </w:r>
          </w:p>
        </w:tc>
        <w:tc>
          <w:tcPr>
            <w:tcW w:w="990"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3</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Акты выполненных работ</w:t>
            </w:r>
          </w:p>
        </w:tc>
        <w:tc>
          <w:tcPr>
            <w:tcW w:w="1275"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r>
      <w:tr>
        <w:trPr/>
        <w:tc>
          <w:tcPr>
            <w:tcW w:w="30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6.</w:t>
            </w:r>
          </w:p>
        </w:tc>
        <w:tc>
          <w:tcPr>
            <w:tcW w:w="1532" w:type="dxa"/>
            <w:tcBorders>
              <w:left w:val="single" w:sz="4" w:space="0" w:color="000000"/>
              <w:bottom w:val="single" w:sz="4" w:space="0" w:color="000000"/>
            </w:tcBorders>
            <w:shd w:fill="5EB91E" w:val="clear"/>
          </w:tcPr>
          <w:p>
            <w:pPr>
              <w:pStyle w:val="Normal"/>
              <w:widowControl w:val="false"/>
              <w:suppressAutoHyphens w:val="true"/>
              <w:spacing w:lineRule="auto" w:line="240" w:before="0" w:after="0"/>
              <w:ind w:left="-57" w:right="-57" w:hanging="0"/>
              <w:jc w:val="center"/>
              <w:rPr>
                <w:rFonts w:ascii="Times New Roman" w:hAnsi="Times New Roman"/>
                <w:color w:val="000000"/>
                <w:sz w:val="18"/>
                <w:szCs w:val="18"/>
              </w:rPr>
            </w:pPr>
            <w:r>
              <w:rPr>
                <w:color w:val="000000"/>
                <w:sz w:val="18"/>
                <w:szCs w:val="18"/>
              </w:rPr>
              <w:t>Исполнено</w:t>
            </w:r>
          </w:p>
        </w:tc>
        <w:tc>
          <w:tcPr>
            <w:tcW w:w="1984" w:type="dxa"/>
            <w:tcBorders>
              <w:left w:val="single" w:sz="4" w:space="0" w:color="000000"/>
              <w:bottom w:val="single" w:sz="4" w:space="0" w:color="000000"/>
            </w:tcBorders>
            <w:vAlign w:val="center"/>
          </w:tcPr>
          <w:p>
            <w:pPr>
              <w:pStyle w:val="Normal"/>
              <w:widowControl w:val="false"/>
              <w:spacing w:lineRule="auto" w:line="240" w:before="0" w:after="0"/>
              <w:ind w:left="0" w:right="0" w:hanging="0"/>
              <w:jc w:val="both"/>
              <w:rPr>
                <w:rFonts w:ascii="Times New Roman" w:hAnsi="Times New Roman" w:eastAsia="Times New Roman" w:cs="Times New Roman"/>
                <w:sz w:val="18"/>
                <w:szCs w:val="18"/>
                <w:lang w:eastAsia="ru-RU"/>
              </w:rPr>
            </w:pPr>
            <w:r>
              <w:rPr>
                <w:rFonts w:eastAsia="Times New Roman" w:cs="Times New Roman"/>
                <w:sz w:val="18"/>
                <w:szCs w:val="18"/>
                <w:lang w:eastAsia="ru-RU"/>
              </w:rPr>
              <w:t>Количество благоустроенных территорий различного функционального назначения Красногвардейского района</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ГП</w:t>
            </w:r>
          </w:p>
        </w:tc>
        <w:tc>
          <w:tcPr>
            <w:tcW w:w="1135" w:type="dxa"/>
            <w:tcBorders>
              <w:left w:val="single" w:sz="4" w:space="0" w:color="000000"/>
              <w:bottom w:val="single" w:sz="4" w:space="0" w:color="000000"/>
            </w:tcBorders>
          </w:tcPr>
          <w:p>
            <w:pPr>
              <w:pStyle w:val="Normal"/>
              <w:widowControl w:val="false"/>
              <w:spacing w:lineRule="auto" w:line="240" w:before="0" w:after="0"/>
              <w:ind w:left="0" w:right="0" w:hanging="0"/>
              <w:jc w:val="left"/>
              <w:rPr>
                <w:rFonts w:ascii="Times New Roman" w:hAnsi="Times New Roman" w:eastAsia="Times New Roman" w:cs="Times New Roman"/>
                <w:spacing w:val="-2"/>
                <w:sz w:val="18"/>
                <w:szCs w:val="18"/>
              </w:rPr>
            </w:pPr>
            <w:r>
              <w:rPr>
                <w:rFonts w:eastAsia="Times New Roman" w:cs="Times New Roman"/>
                <w:spacing w:val="-2"/>
                <w:sz w:val="18"/>
                <w:szCs w:val="18"/>
              </w:rPr>
              <w:t>Прогрессирующий</w:t>
            </w:r>
          </w:p>
        </w:tc>
        <w:tc>
          <w:tcPr>
            <w:tcW w:w="99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eastAsia="Times New Roman" w:cs="Times New Roman"/>
                <w:spacing w:val="-2"/>
                <w:sz w:val="18"/>
                <w:szCs w:val="18"/>
              </w:rPr>
            </w:pPr>
            <w:r>
              <w:rPr>
                <w:rFonts w:eastAsia="Times New Roman" w:cs="Times New Roman"/>
                <w:spacing w:val="-2"/>
                <w:sz w:val="18"/>
                <w:szCs w:val="18"/>
              </w:rPr>
              <w:t>Единица</w:t>
            </w:r>
          </w:p>
        </w:tc>
        <w:tc>
          <w:tcPr>
            <w:tcW w:w="990"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6</w:t>
            </w:r>
          </w:p>
        </w:tc>
        <w:tc>
          <w:tcPr>
            <w:tcW w:w="1135"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6</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6</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t>Акты выполненных работ</w:t>
            </w:r>
          </w:p>
        </w:tc>
        <w:tc>
          <w:tcPr>
            <w:tcW w:w="1275"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1277" w:type="dxa"/>
            <w:tcBorders>
              <w:left w:val="single" w:sz="4" w:space="0" w:color="000000"/>
              <w:bottom w:val="single" w:sz="4" w:space="0" w:color="000000"/>
            </w:tcBorders>
          </w:tcPr>
          <w:p>
            <w:pPr>
              <w:pStyle w:val="Normal"/>
              <w:widowControl w:val="false"/>
              <w:spacing w:lineRule="auto" w:line="240" w:before="0" w:after="0"/>
              <w:ind w:left="0" w:right="0" w:hanging="0"/>
              <w:jc w:val="center"/>
              <w:rPr>
                <w:highlight w:val="none"/>
                <w:shd w:fill="auto" w:val="clear"/>
              </w:rPr>
            </w:pPr>
            <w:r>
              <w:rPr>
                <w:rFonts w:eastAsia="Times New Roman" w:cs="Times New Roman"/>
                <w:spacing w:val="-2"/>
                <w:sz w:val="18"/>
                <w:szCs w:val="18"/>
                <w:shd w:fill="auto" w:val="clear"/>
              </w:rPr>
              <w:t>3</w:t>
            </w:r>
          </w:p>
        </w:tc>
        <w:tc>
          <w:tcPr>
            <w:tcW w:w="959"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jc w:val="center"/>
              <w:rPr>
                <w:rFonts w:ascii="Times New Roman" w:hAnsi="Times New Roman"/>
                <w:color w:val="000000"/>
                <w:sz w:val="16"/>
                <w:szCs w:val="16"/>
              </w:rPr>
            </w:pPr>
            <w:r>
              <w:rPr>
                <w:color w:val="000000"/>
                <w:sz w:val="16"/>
                <w:szCs w:val="16"/>
              </w:rPr>
            </w:r>
          </w:p>
        </w:tc>
      </w:tr>
    </w:tbl>
    <w:p>
      <w:pPr>
        <w:pStyle w:val="ListParagraph"/>
        <w:spacing w:lineRule="auto" w:line="240" w:before="0" w:after="0"/>
        <w:ind w:left="0" w:right="539" w:hanging="0"/>
        <w:contextualSpacing/>
        <w:jc w:val="center"/>
        <w:rPr>
          <w:rFonts w:ascii="Times New Roman" w:hAnsi="Times New Roman"/>
          <w:bCs/>
          <w:color w:val="000000"/>
          <w:sz w:val="14"/>
          <w:szCs w:val="14"/>
        </w:rPr>
      </w:pPr>
      <w:r>
        <w:rPr>
          <w:bCs/>
          <w:color w:val="000000"/>
          <w:sz w:val="14"/>
          <w:szCs w:val="14"/>
        </w:rPr>
      </w:r>
    </w:p>
    <w:p>
      <w:pPr>
        <w:pStyle w:val="ListParagraph"/>
        <w:spacing w:lineRule="auto" w:line="240" w:before="0" w:after="0"/>
        <w:ind w:left="360" w:right="539" w:hanging="0"/>
        <w:contextualSpacing/>
        <w:jc w:val="center"/>
        <w:rPr>
          <w:rFonts w:ascii="Times New Roman" w:hAnsi="Times New Roman"/>
          <w:sz w:val="24"/>
          <w:szCs w:val="24"/>
        </w:rPr>
      </w:pPr>
      <w:r>
        <w:rPr>
          <w:sz w:val="24"/>
          <w:szCs w:val="24"/>
        </w:rPr>
      </w:r>
    </w:p>
    <w:p>
      <w:pPr>
        <w:pStyle w:val="Normal"/>
        <w:spacing w:before="0" w:after="0"/>
        <w:jc w:val="center"/>
        <w:rPr>
          <w:rFonts w:ascii="Times New Roman" w:hAnsi="Times New Roman"/>
          <w:sz w:val="24"/>
          <w:szCs w:val="24"/>
        </w:rPr>
      </w:pPr>
      <w:r>
        <w:rPr>
          <w:sz w:val="24"/>
          <w:szCs w:val="24"/>
        </w:rPr>
        <w:t xml:space="preserve">2. Сведения о помесячном достижении показателей муниципальной программы в </w:t>
      </w:r>
      <w:r>
        <w:rPr>
          <w:i/>
          <w:sz w:val="24"/>
          <w:szCs w:val="24"/>
        </w:rPr>
        <w:t>2025</w:t>
      </w:r>
      <w:r>
        <w:rPr>
          <w:sz w:val="24"/>
          <w:szCs w:val="24"/>
        </w:rPr>
        <w:t xml:space="preserve"> году</w:t>
      </w:r>
      <w:r>
        <w:rPr>
          <w:rStyle w:val="Style18"/>
          <w:sz w:val="24"/>
          <w:szCs w:val="24"/>
        </w:rPr>
        <w:footnoteReference w:id="8"/>
      </w:r>
    </w:p>
    <w:p>
      <w:pPr>
        <w:pStyle w:val="Normal"/>
        <w:spacing w:before="0" w:after="0"/>
        <w:jc w:val="center"/>
        <w:rPr>
          <w:rFonts w:ascii="Times New Roman" w:hAnsi="Times New Roman"/>
          <w:sz w:val="20"/>
          <w:szCs w:val="16"/>
        </w:rPr>
      </w:pPr>
      <w:r>
        <w:rPr>
          <w:sz w:val="20"/>
          <w:szCs w:val="16"/>
        </w:rPr>
      </w:r>
    </w:p>
    <w:tbl>
      <w:tblPr>
        <w:tblW w:w="5000" w:type="pct"/>
        <w:jc w:val="left"/>
        <w:tblInd w:w="0" w:type="dxa"/>
        <w:tblLayout w:type="fixed"/>
        <w:tblCellMar>
          <w:top w:w="0" w:type="dxa"/>
          <w:left w:w="6" w:type="dxa"/>
          <w:bottom w:w="0" w:type="dxa"/>
          <w:right w:w="6" w:type="dxa"/>
        </w:tblCellMar>
        <w:tblLook w:noVBand="0" w:val="0000" w:noHBand="0" w:lastColumn="0" w:firstColumn="0" w:lastRow="0" w:firstRow="0"/>
      </w:tblPr>
      <w:tblGrid>
        <w:gridCol w:w="527"/>
        <w:gridCol w:w="4600"/>
        <w:gridCol w:w="1295"/>
        <w:gridCol w:w="586"/>
        <w:gridCol w:w="587"/>
        <w:gridCol w:w="584"/>
        <w:gridCol w:w="586"/>
        <w:gridCol w:w="587"/>
        <w:gridCol w:w="587"/>
        <w:gridCol w:w="586"/>
        <w:gridCol w:w="584"/>
        <w:gridCol w:w="586"/>
        <w:gridCol w:w="587"/>
        <w:gridCol w:w="590"/>
        <w:gridCol w:w="1698"/>
      </w:tblGrid>
      <w:tr>
        <w:trPr>
          <w:tblHeader w:val="true"/>
          <w:trHeight w:val="166" w:hRule="atLeast"/>
        </w:trPr>
        <w:tc>
          <w:tcPr>
            <w:tcW w:w="5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ind w:left="-57" w:right="-57" w:hanging="0"/>
              <w:jc w:val="center"/>
              <w:rPr>
                <w:rFonts w:ascii="Times New Roman" w:hAnsi="Times New Roman"/>
                <w:b/>
                <w:sz w:val="16"/>
                <w:szCs w:val="16"/>
              </w:rPr>
            </w:pPr>
            <w:r>
              <w:rPr>
                <w:b/>
                <w:sz w:val="16"/>
                <w:szCs w:val="16"/>
              </w:rPr>
              <w:t xml:space="preserve">№ </w:t>
            </w:r>
            <w:r>
              <w:rPr>
                <w:b/>
                <w:sz w:val="16"/>
                <w:szCs w:val="16"/>
              </w:rPr>
              <w:t>п/п</w:t>
            </w:r>
          </w:p>
        </w:tc>
        <w:tc>
          <w:tcPr>
            <w:tcW w:w="46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ind w:left="-57" w:right="-57" w:hanging="0"/>
              <w:jc w:val="center"/>
              <w:rPr>
                <w:rFonts w:ascii="Times New Roman" w:hAnsi="Times New Roman"/>
                <w:b/>
                <w:sz w:val="16"/>
                <w:szCs w:val="16"/>
              </w:rPr>
            </w:pPr>
            <w:r>
              <w:rPr>
                <w:b/>
                <w:sz w:val="16"/>
                <w:szCs w:val="16"/>
              </w:rPr>
              <w:t>Показатели муниципальной программы</w:t>
            </w:r>
          </w:p>
        </w:tc>
        <w:tc>
          <w:tcPr>
            <w:tcW w:w="12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ind w:left="-57" w:right="-57" w:hanging="0"/>
              <w:jc w:val="center"/>
              <w:rPr>
                <w:rFonts w:ascii="Times New Roman" w:hAnsi="Times New Roman"/>
                <w:b/>
                <w:sz w:val="16"/>
                <w:szCs w:val="16"/>
              </w:rPr>
            </w:pPr>
            <w:r>
              <w:rPr>
                <w:b/>
                <w:sz w:val="16"/>
                <w:szCs w:val="16"/>
              </w:rPr>
              <w:t>Уровень показателя</w:t>
            </w:r>
            <w:r>
              <w:rPr>
                <w:b/>
                <w:sz w:val="16"/>
                <w:szCs w:val="16"/>
                <w:vertAlign w:val="superscript"/>
              </w:rPr>
              <w:t>7</w:t>
            </w:r>
          </w:p>
        </w:tc>
        <w:tc>
          <w:tcPr>
            <w:tcW w:w="6450"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ind w:left="-57" w:right="-57" w:hanging="0"/>
              <w:jc w:val="center"/>
              <w:rPr>
                <w:rFonts w:ascii="Times New Roman" w:hAnsi="Times New Roman"/>
                <w:b/>
                <w:sz w:val="16"/>
                <w:szCs w:val="16"/>
              </w:rPr>
            </w:pPr>
            <w:r>
              <w:rPr>
                <w:b/>
                <w:sz w:val="16"/>
                <w:szCs w:val="16"/>
              </w:rPr>
              <w:t>Плановые значения по кварталам/месяцам</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ind w:left="-57" w:right="-57" w:hanging="0"/>
              <w:jc w:val="center"/>
              <w:rPr>
                <w:rFonts w:ascii="Times New Roman" w:hAnsi="Times New Roman"/>
                <w:b/>
                <w:sz w:val="16"/>
                <w:szCs w:val="16"/>
              </w:rPr>
            </w:pPr>
            <w:r>
              <w:rPr>
                <w:b/>
                <w:sz w:val="16"/>
                <w:szCs w:val="16"/>
              </w:rPr>
              <w:t xml:space="preserve">На конец </w:t>
            </w:r>
            <w:r>
              <w:rPr>
                <w:b/>
                <w:i/>
                <w:sz w:val="16"/>
                <w:szCs w:val="16"/>
              </w:rPr>
              <w:t>2025</w:t>
            </w:r>
            <w:r>
              <w:rPr>
                <w:b/>
                <w:sz w:val="16"/>
                <w:szCs w:val="16"/>
              </w:rPr>
              <w:t xml:space="preserve"> года</w:t>
            </w:r>
          </w:p>
        </w:tc>
      </w:tr>
      <w:tr>
        <w:trPr>
          <w:tblHeader w:val="true"/>
          <w:trHeight w:val="87" w:hRule="atLeast"/>
        </w:trPr>
        <w:tc>
          <w:tcPr>
            <w:tcW w:w="5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r>
          </w:p>
        </w:tc>
        <w:tc>
          <w:tcPr>
            <w:tcW w:w="46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r>
          </w:p>
        </w:tc>
        <w:tc>
          <w:tcPr>
            <w:tcW w:w="1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янв.</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фев.</w:t>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b/>
                <w:sz w:val="16"/>
                <w:szCs w:val="16"/>
              </w:rPr>
            </w:pPr>
            <w:r>
              <w:rPr>
                <w:b/>
                <w:sz w:val="16"/>
                <w:szCs w:val="16"/>
              </w:rPr>
              <w:t>март</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апр.</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май</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b/>
                <w:sz w:val="16"/>
                <w:szCs w:val="16"/>
              </w:rPr>
            </w:pPr>
            <w:r>
              <w:rPr>
                <w:b/>
                <w:sz w:val="16"/>
                <w:szCs w:val="16"/>
              </w:rPr>
              <w:t>июнь</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июль</w:t>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авг.</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b/>
                <w:sz w:val="16"/>
                <w:szCs w:val="16"/>
              </w:rPr>
            </w:pPr>
            <w:r>
              <w:rPr>
                <w:b/>
                <w:sz w:val="16"/>
                <w:szCs w:val="16"/>
              </w:rPr>
              <w:t>сен.</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окт.</w:t>
            </w:r>
          </w:p>
        </w:tc>
        <w:tc>
          <w:tcPr>
            <w:tcW w:w="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ноя.</w:t>
            </w:r>
          </w:p>
        </w:tc>
        <w:tc>
          <w:tcPr>
            <w:tcW w:w="1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r>
          </w:p>
        </w:tc>
      </w:tr>
      <w:tr>
        <w:trPr>
          <w:tblHeader w:val="true"/>
          <w:trHeight w:val="161" w:hRule="atLeast"/>
        </w:trPr>
        <w:tc>
          <w:tcPr>
            <w:tcW w:w="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w:t>
            </w:r>
          </w:p>
        </w:tc>
        <w:tc>
          <w:tcPr>
            <w:tcW w:w="4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2</w:t>
            </w:r>
          </w:p>
        </w:tc>
        <w:tc>
          <w:tcPr>
            <w:tcW w:w="12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3</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4</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5</w:t>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6</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7</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8</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9</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10</w:t>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11</w:t>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12</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13</w:t>
            </w:r>
          </w:p>
        </w:tc>
        <w:tc>
          <w:tcPr>
            <w:tcW w:w="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14</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60" w:after="60"/>
              <w:jc w:val="center"/>
              <w:rPr>
                <w:rFonts w:ascii="Times New Roman" w:hAnsi="Times New Roman"/>
                <w:b/>
                <w:sz w:val="16"/>
                <w:szCs w:val="16"/>
              </w:rPr>
            </w:pPr>
            <w:r>
              <w:rPr>
                <w:b/>
                <w:sz w:val="16"/>
                <w:szCs w:val="16"/>
              </w:rPr>
              <w:t>15</w:t>
            </w:r>
          </w:p>
        </w:tc>
      </w:tr>
      <w:tr>
        <w:trPr>
          <w:trHeight w:val="386" w:hRule="atLeast"/>
        </w:trPr>
        <w:tc>
          <w:tcPr>
            <w:tcW w:w="5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rPr>
              <w:t>1.</w:t>
            </w:r>
          </w:p>
        </w:tc>
        <w:tc>
          <w:tcPr>
            <w:tcW w:w="14043" w:type="dxa"/>
            <w:gridSpan w:val="14"/>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spacing w:lineRule="atLeast" w:line="0" w:before="0" w:after="0"/>
              <w:jc w:val="center"/>
              <w:rPr>
                <w:rFonts w:ascii="Times New Roman" w:hAnsi="Times New Roman"/>
                <w:sz w:val="16"/>
                <w:szCs w:val="16"/>
              </w:rPr>
            </w:pPr>
            <w:r>
              <w:rPr>
                <w:rFonts w:cs="Tinos"/>
                <w:b/>
                <w:bCs/>
                <w:i/>
                <w:color w:val="000000"/>
                <w:kern w:val="0"/>
                <w:sz w:val="16"/>
                <w:szCs w:val="16"/>
                <w:highlight w:val="white"/>
                <w:u w:val="none" w:color="000000"/>
                <w:lang w:val="ru-RU" w:bidi="ar-SA"/>
              </w:rPr>
              <w:t>Цель «Повышение уровня благоустройства, качества и комфорта дворовых, общественных и иных территорий Красногвардейского района»</w:t>
            </w:r>
          </w:p>
        </w:tc>
      </w:tr>
      <w:tr>
        <w:trPr>
          <w:trHeight w:val="386" w:hRule="atLeast"/>
        </w:trPr>
        <w:tc>
          <w:tcPr>
            <w:tcW w:w="5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60" w:after="60"/>
              <w:jc w:val="center"/>
              <w:rPr>
                <w:rFonts w:ascii="Times New Roman" w:hAnsi="Times New Roman"/>
                <w:sz w:val="16"/>
                <w:szCs w:val="16"/>
              </w:rPr>
            </w:pPr>
            <w:r>
              <w:rPr>
                <w:sz w:val="16"/>
                <w:szCs w:val="16"/>
                <w:lang w:val="en-US"/>
              </w:rPr>
              <w:t>1.</w:t>
            </w:r>
          </w:p>
        </w:tc>
        <w:tc>
          <w:tcPr>
            <w:tcW w:w="14043" w:type="dxa"/>
            <w:gridSpan w:val="1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bCs/>
                <w:i/>
                <w:i/>
                <w:color w:val="000000"/>
                <w:sz w:val="16"/>
                <w:szCs w:val="16"/>
                <w:u w:val="none" w:color="000000"/>
              </w:rPr>
            </w:pPr>
            <w:r>
              <w:rPr>
                <w:rFonts w:cs="Tinos"/>
                <w:bCs/>
                <w:i/>
                <w:color w:val="000000"/>
                <w:kern w:val="0"/>
                <w:sz w:val="16"/>
                <w:szCs w:val="16"/>
                <w:highlight w:val="white"/>
                <w:u w:val="none" w:color="000000"/>
                <w:lang w:val="ru-RU" w:bidi="ar-SA"/>
              </w:rPr>
              <w:t xml:space="preserve">   </w:t>
            </w:r>
            <w:r>
              <w:rPr>
                <w:rFonts w:cs="Tinos"/>
                <w:bCs/>
                <w:i/>
                <w:color w:val="000000"/>
                <w:kern w:val="0"/>
                <w:sz w:val="16"/>
                <w:szCs w:val="16"/>
                <w:highlight w:val="white"/>
                <w:u w:val="none" w:color="000000"/>
                <w:lang w:val="ru-RU" w:bidi="ar-SA"/>
              </w:rPr>
              <w:t>Количество благоустроенных дворовых и общественных территорий различного функционального назначения,  включенных в муниципальную программу  (ежегодно, накопительным итогом)</w:t>
            </w:r>
            <w:r>
              <w:rPr>
                <w:bCs/>
                <w:i/>
                <w:color w:val="000000"/>
                <w:sz w:val="16"/>
                <w:szCs w:val="16"/>
                <w:u w:val="none" w:color="000000"/>
              </w:rPr>
              <w:t>, единица</w:t>
            </w:r>
          </w:p>
        </w:tc>
      </w:tr>
      <w:tr>
        <w:trPr>
          <w:trHeight w:val="386" w:hRule="atLeast"/>
        </w:trPr>
        <w:tc>
          <w:tcPr>
            <w:tcW w:w="5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4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6</w:t>
            </w:r>
          </w:p>
        </w:tc>
      </w:tr>
      <w:tr>
        <w:trPr>
          <w:trHeight w:val="335" w:hRule="atLeast"/>
        </w:trPr>
        <w:tc>
          <w:tcPr>
            <w:tcW w:w="5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w:t>
            </w:r>
          </w:p>
        </w:tc>
        <w:tc>
          <w:tcPr>
            <w:tcW w:w="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6</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2.</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highlight w:val="white"/>
                <w:lang w:val="ru-RU" w:bidi="ar-SA"/>
              </w:rPr>
              <w:t>Количество благоустроенных дворовых территорий, включенных в муниципальную программу (ежегодно, накопительным итогом)</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3</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3</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3</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3</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3.</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szCs w:val="16"/>
                <w:highlight w:val="white"/>
                <w:lang w:val="ru-RU" w:bidi="ar-SA"/>
              </w:rPr>
              <w:t xml:space="preserve">Доля дворовых и общественных территорий населенных пунктов поселений </w:t>
            </w:r>
            <w:r>
              <w:rPr>
                <w:rFonts w:cs="Tinos"/>
                <w:kern w:val="0"/>
                <w:sz w:val="16"/>
                <w:highlight w:val="white"/>
                <w:lang w:val="ru-RU" w:bidi="ar-SA"/>
              </w:rPr>
              <w:t>Красногвардейского района, благоустроенных с трудовым участием граждан, заинтересованных организаций от общего количества дворовых и общественных территорий, благоустроенных  в ходе реализации муниципальной программы</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90</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100</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90</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100</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4.</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szCs w:val="16"/>
                <w:highlight w:val="white"/>
                <w:lang w:val="ru-RU" w:bidi="ar-SA"/>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w:t>
            </w:r>
            <w:r>
              <w:rPr>
                <w:rFonts w:cs="Tinos"/>
                <w:kern w:val="0"/>
                <w:sz w:val="16"/>
                <w:highlight w:val="white"/>
                <w:lang w:val="ru-RU" w:bidi="ar-SA"/>
              </w:rPr>
              <w:t>реализуются проекты по созданию  комфортной городской среды</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5.</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highlight w:val="white"/>
                <w:lang w:val="ru-RU" w:bidi="ar-SA"/>
              </w:rPr>
              <w:t>Количество реализованных проектов по благоустройству мест массового отдыха</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2</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3</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2</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3</w:t>
            </w:r>
          </w:p>
        </w:tc>
      </w:tr>
      <w:tr>
        <w:trPr>
          <w:trHeight w:val="335" w:hRule="atLeast"/>
        </w:trPr>
        <w:tc>
          <w:tcPr>
            <w:tcW w:w="52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1.1.</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spacing w:lineRule="atLeast" w:line="0" w:before="0" w:after="0"/>
              <w:jc w:val="center"/>
              <w:rPr>
                <w:rFonts w:ascii="Times New Roman" w:hAnsi="Times New Roman"/>
                <w:sz w:val="16"/>
                <w:szCs w:val="16"/>
              </w:rPr>
            </w:pPr>
            <w:r>
              <w:rPr>
                <w:rFonts w:cs="Tinos"/>
                <w:b w:val="false"/>
                <w:i w:val="false"/>
                <w:caps w:val="false"/>
                <w:smallCaps w:val="false"/>
                <w:spacing w:val="0"/>
                <w:kern w:val="0"/>
                <w:sz w:val="16"/>
                <w:highlight w:val="white"/>
                <w:lang w:val="ru-RU" w:bidi="ar-SA"/>
              </w:rPr>
              <w:t>Региональный проект</w:t>
            </w:r>
            <w:r>
              <w:rPr>
                <w:rFonts w:cs="Tinos"/>
                <w:kern w:val="0"/>
                <w:sz w:val="16"/>
                <w:highlight w:val="white"/>
                <w:lang w:val="ru-RU" w:bidi="ar-SA"/>
              </w:rPr>
              <w:t xml:space="preserve"> «Формирование комфортной городской среды»</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1</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szCs w:val="16"/>
                <w:highlight w:val="white"/>
                <w:lang w:val="ru-RU" w:bidi="ar-SA"/>
              </w:rPr>
              <w:t xml:space="preserve">Доля дворовых и общественных территорий населенных пунктов поселений Красногвардейского района, благоустроенных </w:t>
            </w:r>
            <w:r>
              <w:rPr>
                <w:rFonts w:cs="Tinos"/>
                <w:kern w:val="0"/>
                <w:sz w:val="16"/>
                <w:highlight w:val="white"/>
                <w:lang w:val="ru-RU" w:bidi="ar-SA"/>
              </w:rPr>
              <w:t>с трудовым участием граждан, заинтересованных организаций от общего количества дворовых и общественных территорий, благоустроенных в ходе реализации муниципальной программы</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90</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100</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90</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100</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2</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szCs w:val="16"/>
                <w:lang w:val="ru-RU" w:bidi="ar-SA"/>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образованиях,на территории которых реализуются проекты по созданию комфортной городской среды</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58,4</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3</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lang w:val="ru-RU" w:bidi="ar-SA"/>
              </w:rPr>
              <w:t>Количество муниципальных программ, включающих мероприятия по благоустройству дворовых территорий многоквартирных домов, общественных  и иных территорий соответствующего функционального назначения населенных пунктов поселений Красногвардейского района</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4</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lang w:val="ru-RU" w:bidi="ar-SA"/>
              </w:rPr>
              <w:t>Количество благоустроенных дворовых и общественных территорий различного функционального назначения включенных в муниципальную программу</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2</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3</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2</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3</w:t>
            </w:r>
          </w:p>
        </w:tc>
      </w:tr>
      <w:tr>
        <w:trPr>
          <w:trHeight w:val="335" w:hRule="atLeast"/>
        </w:trPr>
        <w:tc>
          <w:tcPr>
            <w:tcW w:w="52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t>5</w:t>
            </w:r>
          </w:p>
        </w:tc>
        <w:tc>
          <w:tcPr>
            <w:tcW w:w="14043"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center"/>
              <w:rPr>
                <w:rFonts w:ascii="Times New Roman" w:hAnsi="Times New Roman"/>
                <w:sz w:val="16"/>
                <w:szCs w:val="16"/>
              </w:rPr>
            </w:pPr>
            <w:r>
              <w:rPr>
                <w:rFonts w:cs="Tinos"/>
                <w:kern w:val="0"/>
                <w:sz w:val="16"/>
                <w:szCs w:val="16"/>
                <w:lang w:val="ru-RU" w:bidi="ar-SA"/>
              </w:rPr>
              <w:t xml:space="preserve">Количество благоустроенных </w:t>
            </w:r>
            <w:r>
              <w:rPr>
                <w:rFonts w:cs="Tinos"/>
                <w:kern w:val="0"/>
                <w:sz w:val="16"/>
                <w:lang w:val="ru-RU" w:bidi="ar-SA"/>
              </w:rPr>
              <w:t>общественных территорий, включенных в муниципальную программу (ежегодно, накопительным итогом)</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i/>
                <w:i/>
                <w:sz w:val="16"/>
                <w:szCs w:val="16"/>
                <w:u w:val="none" w:color="000000"/>
              </w:rPr>
            </w:pPr>
            <w:r>
              <w:rPr>
                <w:i/>
                <w:sz w:val="16"/>
                <w:szCs w:val="16"/>
                <w:u w:val="none" w:color="000000"/>
              </w:rPr>
              <w:t>План</w:t>
            </w:r>
          </w:p>
        </w:tc>
        <w:tc>
          <w:tcPr>
            <w:tcW w:w="1295" w:type="dxa"/>
            <w:vMerge w:val="restart"/>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i/>
                <w:i/>
                <w:sz w:val="16"/>
                <w:szCs w:val="16"/>
                <w:u w:val="none" w:color="000000"/>
              </w:rPr>
            </w:pPr>
            <w:r>
              <w:rPr>
                <w:i/>
                <w:sz w:val="16"/>
                <w:szCs w:val="16"/>
                <w:u w:val="none" w:color="000000"/>
              </w:rPr>
              <w:t>МП</w:t>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2</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3</w:t>
            </w:r>
          </w:p>
        </w:tc>
      </w:tr>
      <w:tr>
        <w:trPr>
          <w:trHeight w:val="335" w:hRule="atLeast"/>
        </w:trPr>
        <w:tc>
          <w:tcPr>
            <w:tcW w:w="52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lang w:val="en-US"/>
              </w:rPr>
            </w:pPr>
            <w:r>
              <w:rPr>
                <w:sz w:val="16"/>
                <w:szCs w:val="16"/>
                <w:lang w:val="en-US"/>
              </w:rPr>
            </w:r>
          </w:p>
        </w:tc>
        <w:tc>
          <w:tcPr>
            <w:tcW w:w="460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ind w:left="259" w:hanging="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295"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rPr>
                <w:rFonts w:ascii="Times New Roman" w:hAnsi="Times New Roman"/>
                <w:i/>
                <w:i/>
                <w:sz w:val="16"/>
                <w:szCs w:val="16"/>
                <w:u w:val="none" w:color="000000"/>
              </w:rPr>
            </w:pPr>
            <w:r>
              <w:rPr>
                <w:i/>
                <w:sz w:val="16"/>
                <w:szCs w:val="16"/>
                <w:u w:val="none" w:color="000000"/>
              </w:rPr>
            </w:r>
          </w:p>
        </w:tc>
        <w:tc>
          <w:tcPr>
            <w:tcW w:w="586"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7" w:type="dxa"/>
            <w:tcBorders>
              <w:left w:val="single" w:sz="4" w:space="0" w:color="000000"/>
              <w:bottom w:val="single" w:sz="4" w:space="0" w:color="000000"/>
              <w:right w:val="single" w:sz="4" w:space="0" w:color="000000"/>
            </w:tcBorders>
          </w:tcPr>
          <w:p>
            <w:pPr>
              <w:pStyle w:val="Normal"/>
              <w:widowControl w:val="false"/>
              <w:spacing w:lineRule="atLeast" w:line="240" w:before="0" w:after="160"/>
              <w:jc w:val="center"/>
              <w:rPr>
                <w:rFonts w:ascii="Times New Roman" w:hAnsi="Times New Roman"/>
                <w:i/>
                <w:i/>
                <w:sz w:val="16"/>
                <w:szCs w:val="16"/>
              </w:rPr>
            </w:pPr>
            <w:r>
              <w:rPr>
                <w:i/>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4"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86"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t>2</w:t>
            </w:r>
          </w:p>
        </w:tc>
        <w:tc>
          <w:tcPr>
            <w:tcW w:w="587"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6"/>
                <w:szCs w:val="16"/>
              </w:rPr>
            </w:pPr>
            <w:r>
              <w:rPr>
                <w:sz w:val="16"/>
                <w:szCs w:val="16"/>
              </w:rPr>
            </w:r>
          </w:p>
        </w:tc>
        <w:tc>
          <w:tcPr>
            <w:tcW w:w="590"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1</w:t>
            </w:r>
          </w:p>
        </w:tc>
        <w:tc>
          <w:tcPr>
            <w:tcW w:w="1698" w:type="dxa"/>
            <w:tcBorders>
              <w:left w:val="single" w:sz="4" w:space="0" w:color="000000"/>
              <w:bottom w:val="single" w:sz="4" w:space="0" w:color="000000"/>
              <w:right w:val="single" w:sz="4" w:space="0" w:color="000000"/>
            </w:tcBorders>
            <w:vAlign w:val="center"/>
          </w:tcPr>
          <w:p>
            <w:pPr>
              <w:pStyle w:val="Normal"/>
              <w:widowControl w:val="false"/>
              <w:spacing w:lineRule="atLeast" w:line="240" w:before="0" w:after="160"/>
              <w:jc w:val="center"/>
              <w:rPr>
                <w:rFonts w:ascii="Times New Roman" w:hAnsi="Times New Roman"/>
                <w:sz w:val="18"/>
                <w:szCs w:val="18"/>
              </w:rPr>
            </w:pPr>
            <w:r>
              <w:rPr>
                <w:sz w:val="18"/>
                <w:szCs w:val="18"/>
              </w:rPr>
              <w:t>3</w:t>
            </w:r>
          </w:p>
        </w:tc>
      </w:tr>
    </w:tbl>
    <w:p>
      <w:pPr>
        <w:pStyle w:val="Normal"/>
        <w:spacing w:before="0" w:after="0"/>
        <w:ind w:left="357" w:right="539" w:hanging="0"/>
        <w:jc w:val="right"/>
        <w:rPr>
          <w:rFonts w:ascii="Times New Roman" w:hAnsi="Times New Roman"/>
          <w:bCs/>
          <w:color w:val="000000"/>
          <w:sz w:val="20"/>
        </w:rPr>
      </w:pPr>
      <w:r>
        <w:rPr>
          <w:sz w:val="24"/>
          <w:szCs w:val="24"/>
        </w:rPr>
      </w:r>
    </w:p>
    <w:p>
      <w:pPr>
        <w:pStyle w:val="Normal"/>
        <w:spacing w:lineRule="auto" w:line="240" w:before="0" w:after="0"/>
        <w:ind w:right="-31" w:hanging="0"/>
        <w:jc w:val="center"/>
        <w:rPr>
          <w:rFonts w:ascii="Times New Roman" w:hAnsi="Times New Roman"/>
          <w:sz w:val="24"/>
          <w:szCs w:val="24"/>
        </w:rPr>
      </w:pPr>
      <w:r>
        <w:rPr>
          <w:sz w:val="24"/>
          <w:szCs w:val="24"/>
        </w:rPr>
      </w:r>
    </w:p>
    <w:p>
      <w:pPr>
        <w:pStyle w:val="Normal"/>
        <w:spacing w:lineRule="auto" w:line="240" w:before="0" w:after="0"/>
        <w:ind w:right="-31" w:hanging="0"/>
        <w:jc w:val="center"/>
        <w:rPr>
          <w:rFonts w:ascii="Times New Roman" w:hAnsi="Times New Roman"/>
          <w:sz w:val="24"/>
          <w:szCs w:val="24"/>
        </w:rPr>
      </w:pPr>
      <w:r>
        <w:rPr>
          <w:bCs/>
          <w:color w:val="000000"/>
          <w:sz w:val="24"/>
          <w:szCs w:val="24"/>
        </w:rPr>
        <w:t xml:space="preserve">3. Сведения об исполнении бюджетных ассигнований, предусмотренных на финансовое обеспечение реализации муниципальной программы </w:t>
      </w:r>
      <w:r>
        <w:rPr>
          <w:sz w:val="24"/>
          <w:szCs w:val="24"/>
        </w:rPr>
        <w:t>(комплексной программы)</w:t>
      </w:r>
    </w:p>
    <w:tbl>
      <w:tblPr>
        <w:tblStyle w:val="aa"/>
        <w:tblW w:w="15255" w:type="dxa"/>
        <w:jc w:val="left"/>
        <w:tblInd w:w="-5" w:type="dxa"/>
        <w:tblLayout w:type="fixed"/>
        <w:tblCellMar>
          <w:top w:w="55" w:type="dxa"/>
          <w:left w:w="108" w:type="dxa"/>
          <w:bottom w:w="55" w:type="dxa"/>
          <w:right w:w="108" w:type="dxa"/>
        </w:tblCellMar>
        <w:tblLook w:noVBand="1" w:val="04a0" w:noHBand="0" w:lastColumn="0" w:firstColumn="1" w:lastRow="0" w:firstRow="1"/>
      </w:tblPr>
      <w:tblGrid>
        <w:gridCol w:w="3926"/>
        <w:gridCol w:w="2662"/>
        <w:gridCol w:w="1333"/>
        <w:gridCol w:w="1024"/>
        <w:gridCol w:w="1167"/>
        <w:gridCol w:w="1246"/>
        <w:gridCol w:w="1085"/>
        <w:gridCol w:w="1536"/>
        <w:gridCol w:w="1274"/>
      </w:tblGrid>
      <w:tr>
        <w:trPr>
          <w:tblHeader w:val="true"/>
          <w:trHeight w:val="20" w:hRule="atLeast"/>
        </w:trPr>
        <w:tc>
          <w:tcPr>
            <w:tcW w:w="3926" w:type="dxa"/>
            <w:vMerge w:val="restart"/>
            <w:tcBorders>
              <w:top w:val="single" w:sz="4" w:space="0" w:color="000000"/>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Наименование муниципальной программы, структурного элемента и источника финансового обеспечения</w:t>
            </w:r>
          </w:p>
        </w:tc>
        <w:tc>
          <w:tcPr>
            <w:tcW w:w="2662" w:type="dxa"/>
            <w:vMerge w:val="restart"/>
            <w:tcBorders>
              <w:top w:val="single" w:sz="4" w:space="0" w:color="000000"/>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Код бюджетной классификации</w:t>
            </w:r>
          </w:p>
        </w:tc>
        <w:tc>
          <w:tcPr>
            <w:tcW w:w="3524" w:type="dxa"/>
            <w:gridSpan w:val="3"/>
            <w:tcBorders>
              <w:top w:val="single" w:sz="4" w:space="0" w:color="000000"/>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Объем финансового обеспечения,</w:t>
            </w:r>
          </w:p>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тыс. рублей</w:t>
            </w:r>
          </w:p>
        </w:tc>
        <w:tc>
          <w:tcPr>
            <w:tcW w:w="2331" w:type="dxa"/>
            <w:gridSpan w:val="2"/>
            <w:tcBorders>
              <w:top w:val="single" w:sz="4" w:space="0" w:color="000000"/>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Исполнение, тыс. рублей</w:t>
            </w:r>
          </w:p>
        </w:tc>
        <w:tc>
          <w:tcPr>
            <w:tcW w:w="1536" w:type="dxa"/>
            <w:vMerge w:val="restart"/>
            <w:tcBorders>
              <w:top w:val="single" w:sz="4" w:space="0" w:color="000000"/>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Процент исполнения, (7)/(4)*100</w:t>
            </w:r>
            <w:bookmarkStart w:id="3" w:name="_Ref129269830"/>
            <w:r>
              <w:rPr>
                <w:rStyle w:val="Style18"/>
                <w:rFonts w:eastAsia="" w:cs="Times New Roman"/>
                <w:b/>
                <w:kern w:val="0"/>
                <w:sz w:val="16"/>
                <w:szCs w:val="16"/>
                <w:lang w:val="ru-RU" w:bidi="ar-SA"/>
              </w:rPr>
              <w:footnoteReference w:id="9"/>
            </w:r>
            <w:bookmarkEnd w:id="3"/>
          </w:p>
        </w:tc>
        <w:tc>
          <w:tcPr>
            <w:tcW w:w="127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Комментарий</w:t>
            </w:r>
          </w:p>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b/>
                <w:sz w:val="16"/>
                <w:szCs w:val="16"/>
              </w:rPr>
            </w:r>
          </w:p>
        </w:tc>
      </w:tr>
      <w:tr>
        <w:trPr>
          <w:tblHeader w:val="true"/>
          <w:trHeight w:val="20" w:hRule="atLeast"/>
        </w:trPr>
        <w:tc>
          <w:tcPr>
            <w:tcW w:w="3926"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b/>
                <w:sz w:val="16"/>
                <w:szCs w:val="16"/>
              </w:rPr>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b/>
                <w:sz w:val="16"/>
                <w:szCs w:val="16"/>
              </w:rPr>
            </w:r>
          </w:p>
        </w:tc>
        <w:tc>
          <w:tcPr>
            <w:tcW w:w="1333"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Предусмотрено паспортом</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Сводная бюджетная роспись</w:t>
            </w:r>
          </w:p>
        </w:tc>
        <w:tc>
          <w:tcPr>
            <w:tcW w:w="1167"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Лимиты бюджетных обязательств</w:t>
            </w:r>
          </w:p>
        </w:tc>
        <w:tc>
          <w:tcPr>
            <w:tcW w:w="124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Принятые бюджетные обязательства</w:t>
            </w:r>
          </w:p>
        </w:tc>
        <w:tc>
          <w:tcPr>
            <w:tcW w:w="1085"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Кассовое исполнение</w:t>
            </w:r>
          </w:p>
        </w:tc>
        <w:tc>
          <w:tcPr>
            <w:tcW w:w="1536"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b/>
                <w:sz w:val="16"/>
                <w:szCs w:val="16"/>
              </w:rPr>
            </w:r>
          </w:p>
        </w:tc>
        <w:tc>
          <w:tcPr>
            <w:tcW w:w="1274" w:type="dxa"/>
            <w:vMerge w:val="continue"/>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b/>
                <w:sz w:val="16"/>
                <w:szCs w:val="16"/>
              </w:rPr>
            </w:r>
          </w:p>
        </w:tc>
      </w:tr>
      <w:tr>
        <w:trPr>
          <w:tblHeader w:val="true"/>
          <w:trHeight w:val="20" w:hRule="atLeast"/>
        </w:trPr>
        <w:tc>
          <w:tcPr>
            <w:tcW w:w="392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1</w:t>
            </w:r>
          </w:p>
        </w:tc>
        <w:tc>
          <w:tcPr>
            <w:tcW w:w="2662"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2</w:t>
            </w:r>
          </w:p>
        </w:tc>
        <w:tc>
          <w:tcPr>
            <w:tcW w:w="1333"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3</w:t>
            </w:r>
          </w:p>
        </w:tc>
        <w:tc>
          <w:tcPr>
            <w:tcW w:w="1024"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4</w:t>
            </w:r>
          </w:p>
        </w:tc>
        <w:tc>
          <w:tcPr>
            <w:tcW w:w="1167"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5</w:t>
            </w:r>
          </w:p>
        </w:tc>
        <w:tc>
          <w:tcPr>
            <w:tcW w:w="124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6</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7</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8</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sz w:val="16"/>
                <w:szCs w:val="16"/>
              </w:rPr>
            </w:pPr>
            <w:r>
              <w:rPr>
                <w:rFonts w:eastAsia="" w:cs="Times New Roman"/>
                <w:b/>
                <w:kern w:val="0"/>
                <w:sz w:val="16"/>
                <w:szCs w:val="16"/>
                <w:lang w:val="ru-RU" w:bidi="ar-SA"/>
              </w:rPr>
              <w:t>9</w:t>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left"/>
              <w:rPr>
                <w:rFonts w:ascii="Times New Roman" w:hAnsi="Times New Roman"/>
                <w:b/>
                <w:sz w:val="16"/>
                <w:szCs w:val="16"/>
              </w:rPr>
            </w:pPr>
            <w:r>
              <w:rPr>
                <w:rFonts w:eastAsia="" w:cs="Times New Roman"/>
                <w:b/>
                <w:kern w:val="0"/>
                <w:sz w:val="16"/>
                <w:szCs w:val="16"/>
                <w:lang w:val="ru-RU" w:bidi="ar-SA"/>
              </w:rPr>
              <w:t>Муниципальная программа (всего), в том числе:</w:t>
            </w:r>
          </w:p>
        </w:tc>
        <w:tc>
          <w:tcPr>
            <w:tcW w:w="2662"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eastAsia="Arial" w:cs="Tinos"/>
                <w:b/>
                <w:bCs/>
                <w:kern w:val="0"/>
                <w:sz w:val="16"/>
                <w:szCs w:val="16"/>
                <w:shd w:fill="auto" w:val="clear"/>
                <w:lang w:val="ru-RU" w:bidi="ar-SA"/>
              </w:rPr>
              <w:t>156725,2</w:t>
            </w:r>
          </w:p>
        </w:tc>
        <w:tc>
          <w:tcPr>
            <w:tcW w:w="1024"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155006,917</w:t>
            </w:r>
          </w:p>
        </w:tc>
        <w:tc>
          <w:tcPr>
            <w:tcW w:w="1167"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155025,2</w:t>
            </w:r>
          </w:p>
        </w:tc>
        <w:tc>
          <w:tcPr>
            <w:tcW w:w="124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155025,2</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155006,917</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98</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662"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0" w:right="0" w:hanging="0"/>
              <w:jc w:val="center"/>
              <w:rPr>
                <w:sz w:val="16"/>
                <w:szCs w:val="16"/>
              </w:rPr>
            </w:pPr>
            <w:r>
              <w:rPr>
                <w:rFonts w:eastAsia="Arial" w:cs="Tinos"/>
                <w:kern w:val="0"/>
                <w:sz w:val="16"/>
                <w:szCs w:val="16"/>
                <w:shd w:fill="auto" w:val="clear"/>
                <w:lang w:val="ru-RU" w:bidi="ar-SA"/>
              </w:rPr>
              <w:t>95899,100</w:t>
            </w:r>
          </w:p>
        </w:tc>
        <w:tc>
          <w:tcPr>
            <w:tcW w:w="1024"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95899,100</w:t>
            </w:r>
          </w:p>
        </w:tc>
        <w:tc>
          <w:tcPr>
            <w:tcW w:w="1167"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0" w:right="0" w:hanging="0"/>
              <w:jc w:val="center"/>
              <w:rPr>
                <w:sz w:val="16"/>
                <w:szCs w:val="16"/>
              </w:rPr>
            </w:pPr>
            <w:r>
              <w:rPr>
                <w:rFonts w:eastAsia="Arial" w:cs="Tinos"/>
                <w:kern w:val="0"/>
                <w:sz w:val="16"/>
                <w:szCs w:val="16"/>
                <w:shd w:fill="auto" w:val="clear"/>
                <w:lang w:val="ru-RU" w:bidi="ar-SA"/>
              </w:rPr>
              <w:t>95899,100</w:t>
            </w:r>
          </w:p>
        </w:tc>
        <w:tc>
          <w:tcPr>
            <w:tcW w:w="1246"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0" w:right="0" w:hanging="0"/>
              <w:jc w:val="center"/>
              <w:rPr>
                <w:sz w:val="16"/>
                <w:szCs w:val="16"/>
              </w:rPr>
            </w:pPr>
            <w:r>
              <w:rPr>
                <w:rFonts w:eastAsia="Arial" w:cs="Tinos"/>
                <w:kern w:val="0"/>
                <w:sz w:val="16"/>
                <w:szCs w:val="16"/>
                <w:shd w:fill="auto" w:val="clear"/>
                <w:lang w:val="ru-RU" w:bidi="ar-SA"/>
              </w:rPr>
              <w:t>95899,100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95899,100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662"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kern w:val="0"/>
                <w:sz w:val="16"/>
                <w:szCs w:val="16"/>
                <w:shd w:fill="auto" w:val="clear"/>
                <w:lang w:val="ru-RU" w:bidi="ar-SA"/>
              </w:rPr>
              <w:t>15823,800</w:t>
            </w:r>
          </w:p>
        </w:tc>
        <w:tc>
          <w:tcPr>
            <w:tcW w:w="1024"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15806,696</w:t>
            </w:r>
          </w:p>
        </w:tc>
        <w:tc>
          <w:tcPr>
            <w:tcW w:w="1167"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kern w:val="0"/>
                <w:sz w:val="16"/>
                <w:szCs w:val="16"/>
                <w:shd w:fill="auto" w:val="clear"/>
                <w:lang w:val="ru-RU" w:bidi="ar-SA"/>
              </w:rPr>
              <w:t>15823,800</w:t>
            </w:r>
          </w:p>
        </w:tc>
        <w:tc>
          <w:tcPr>
            <w:tcW w:w="1246"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kern w:val="0"/>
                <w:sz w:val="16"/>
                <w:szCs w:val="16"/>
                <w:shd w:fill="auto" w:val="clear"/>
                <w:lang w:val="ru-RU" w:bidi="ar-SA"/>
              </w:rPr>
              <w:t>15823,800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15806,696</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99,89</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средства районного бюджета</w:t>
            </w:r>
          </w:p>
        </w:tc>
        <w:tc>
          <w:tcPr>
            <w:tcW w:w="2662"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kern w:val="0"/>
                <w:sz w:val="16"/>
                <w:szCs w:val="16"/>
                <w:shd w:fill="auto" w:val="clear"/>
                <w:lang w:val="ru-RU" w:bidi="ar-SA"/>
              </w:rPr>
              <w:t>43302,344</w:t>
            </w:r>
          </w:p>
        </w:tc>
        <w:tc>
          <w:tcPr>
            <w:tcW w:w="1024"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43301,119</w:t>
            </w:r>
          </w:p>
        </w:tc>
        <w:tc>
          <w:tcPr>
            <w:tcW w:w="1167"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kern w:val="0"/>
                <w:sz w:val="16"/>
                <w:szCs w:val="16"/>
                <w:shd w:fill="auto" w:val="clear"/>
                <w:lang w:val="ru-RU" w:bidi="ar-SA"/>
              </w:rPr>
              <w:t>43302,344</w:t>
            </w:r>
          </w:p>
        </w:tc>
        <w:tc>
          <w:tcPr>
            <w:tcW w:w="1246"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kern w:val="0"/>
                <w:sz w:val="16"/>
                <w:szCs w:val="16"/>
                <w:shd w:fill="auto" w:val="clear"/>
                <w:lang w:val="ru-RU" w:bidi="ar-SA"/>
              </w:rPr>
              <w:t>43302,344</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43301,119</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внебюджетные источники</w:t>
            </w:r>
          </w:p>
        </w:tc>
        <w:tc>
          <w:tcPr>
            <w:tcW w:w="2662"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1700,000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rFonts w:eastAsia="" w:cs="Times New Roman"/>
                <w:kern w:val="0"/>
                <w:sz w:val="16"/>
                <w:szCs w:val="16"/>
                <w:lang w:val="ru-RU" w:bidi="ar-SA"/>
              </w:rPr>
              <w:t>-</w:t>
            </w:r>
          </w:p>
        </w:tc>
        <w:tc>
          <w:tcPr>
            <w:tcW w:w="1167"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rFonts w:eastAsia="" w:cs="Times New Roman"/>
                <w:kern w:val="0"/>
                <w:sz w:val="16"/>
                <w:szCs w:val="16"/>
                <w:lang w:val="ru-RU" w:bidi="ar-SA"/>
              </w:rPr>
              <w:t>-</w:t>
            </w:r>
          </w:p>
        </w:tc>
        <w:tc>
          <w:tcPr>
            <w:tcW w:w="124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rFonts w:eastAsia="" w:cs="Times New Roman"/>
                <w:kern w:val="0"/>
                <w:sz w:val="16"/>
                <w:szCs w:val="16"/>
                <w:lang w:val="ru-RU" w:bidi="ar-SA"/>
              </w:rPr>
              <w:t>-</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rFonts w:eastAsia="" w:cs="Times New Roman"/>
                <w:kern w:val="0"/>
                <w:sz w:val="16"/>
                <w:szCs w:val="16"/>
                <w:lang w:val="ru-RU" w:bidi="ar-SA"/>
              </w:rPr>
              <w:t>-</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both"/>
              <w:rPr>
                <w:i w:val="false"/>
                <w:i w:val="false"/>
                <w:iCs w:val="false"/>
                <w:sz w:val="16"/>
                <w:szCs w:val="16"/>
              </w:rPr>
            </w:pPr>
            <w:r>
              <w:rPr>
                <w:rFonts w:eastAsia="" w:cs="Tinos"/>
                <w:b/>
                <w:bCs/>
                <w:i w:val="false"/>
                <w:iCs w:val="false"/>
                <w:kern w:val="0"/>
                <w:sz w:val="16"/>
                <w:szCs w:val="16"/>
                <w:shd w:fill="auto" w:val="clear"/>
                <w:lang w:val="ru-RU" w:bidi="ar-SA"/>
              </w:rPr>
              <w:t>Региональный проект «Решаем вместе» в рамках инициативного бюджетирования»</w:t>
            </w:r>
          </w:p>
        </w:tc>
        <w:tc>
          <w:tcPr>
            <w:tcW w:w="2662" w:type="dxa"/>
            <w:vMerge w:val="restart"/>
            <w:tcBorders>
              <w:left w:val="single" w:sz="4" w:space="0" w:color="000000"/>
              <w:bottom w:val="single" w:sz="4" w:space="0" w:color="000000"/>
            </w:tcBorders>
            <w:shd w:color="auto" w:fill="auto" w:val="clear"/>
          </w:tcPr>
          <w:p>
            <w:pPr>
              <w:pStyle w:val="Normal"/>
              <w:widowControl w:val="false"/>
              <w:tabs>
                <w:tab w:val="clear" w:pos="708"/>
                <w:tab w:val="left" w:pos="600" w:leader="none"/>
              </w:tabs>
              <w:suppressAutoHyphens w:val="true"/>
              <w:bidi w:val="0"/>
              <w:spacing w:lineRule="auto" w:line="240" w:before="0" w:after="0"/>
              <w:ind w:left="113" w:right="0" w:hanging="0"/>
              <w:jc w:val="center"/>
              <w:rPr>
                <w:sz w:val="16"/>
                <w:szCs w:val="16"/>
              </w:rPr>
            </w:pPr>
            <w:r>
              <w:rPr>
                <w:rFonts w:eastAsia="Calibri" w:cs="" w:cstheme="minorBidi" w:eastAsiaTheme="minorHAnsi"/>
                <w:kern w:val="0"/>
                <w:sz w:val="16"/>
                <w:szCs w:val="16"/>
                <w:shd w:fill="auto" w:val="clear"/>
                <w:lang w:val="ru-RU" w:bidi="ar-SA"/>
              </w:rPr>
              <w:t>892 0503 1120260300 521 300</w:t>
            </w:r>
          </w:p>
          <w:p>
            <w:pPr>
              <w:pStyle w:val="Normal"/>
              <w:widowControl w:val="false"/>
              <w:tabs>
                <w:tab w:val="clear" w:pos="708"/>
                <w:tab w:val="left" w:pos="600" w:leader="none"/>
              </w:tabs>
              <w:suppressAutoHyphens w:val="true"/>
              <w:bidi w:val="0"/>
              <w:spacing w:lineRule="auto" w:line="240" w:before="0" w:after="0"/>
              <w:ind w:left="113" w:right="0" w:hanging="0"/>
              <w:jc w:val="center"/>
              <w:rPr>
                <w:rFonts w:ascii="Times New Roman" w:hAnsi="Times New Roman"/>
                <w:kern w:val="0"/>
                <w:sz w:val="16"/>
                <w:szCs w:val="16"/>
                <w:highlight w:val="none"/>
                <w:shd w:fill="auto" w:val="clear"/>
                <w:lang w:val="ru-RU" w:bidi="ar-SA"/>
              </w:rPr>
            </w:pPr>
            <w:r>
              <w:rPr>
                <w:kern w:val="0"/>
                <w:sz w:val="16"/>
                <w:szCs w:val="16"/>
                <w:shd w:fill="auto" w:val="clear"/>
                <w:lang w:val="ru-RU" w:bidi="ar-SA"/>
              </w:rPr>
            </w:r>
          </w:p>
          <w:p>
            <w:pPr>
              <w:pStyle w:val="Normal"/>
              <w:widowControl w:val="false"/>
              <w:tabs>
                <w:tab w:val="clear" w:pos="708"/>
                <w:tab w:val="left" w:pos="600" w:leader="none"/>
              </w:tabs>
              <w:suppressAutoHyphens w:val="true"/>
              <w:bidi w:val="0"/>
              <w:spacing w:lineRule="auto" w:line="240" w:before="0" w:after="0"/>
              <w:ind w:left="113" w:right="0" w:hanging="0"/>
              <w:jc w:val="center"/>
              <w:rPr>
                <w:sz w:val="16"/>
                <w:szCs w:val="16"/>
              </w:rPr>
            </w:pPr>
            <w:r>
              <w:rPr>
                <w:rFonts w:eastAsia="Calibri" w:cs="" w:cstheme="minorBidi" w:eastAsiaTheme="minorHAnsi"/>
                <w:kern w:val="0"/>
                <w:sz w:val="16"/>
                <w:szCs w:val="16"/>
                <w:shd w:fill="auto" w:val="clear"/>
                <w:lang w:val="ru-RU" w:bidi="ar-SA"/>
              </w:rPr>
              <w:t>892 0503 1120270300 521 200</w:t>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bCs/>
                <w:sz w:val="16"/>
                <w:szCs w:val="16"/>
                <w:shd w:fill="auto" w:val="clear"/>
              </w:rPr>
              <w:t>18598,65</w:t>
            </w:r>
          </w:p>
        </w:tc>
        <w:tc>
          <w:tcPr>
            <w:tcW w:w="1024"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bCs/>
                <w:sz w:val="16"/>
                <w:szCs w:val="16"/>
                <w:shd w:fill="auto" w:val="clear"/>
              </w:rPr>
              <w:t>18598,65</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bCs/>
                <w:sz w:val="16"/>
                <w:szCs w:val="16"/>
                <w:shd w:fill="auto" w:val="clear"/>
              </w:rPr>
              <w:t>18598,65</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bCs/>
                <w:sz w:val="16"/>
                <w:szCs w:val="16"/>
                <w:shd w:fill="auto" w:val="clear"/>
              </w:rPr>
              <w:t>18598,65</w:t>
            </w:r>
          </w:p>
        </w:tc>
        <w:tc>
          <w:tcPr>
            <w:tcW w:w="1085"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bCs/>
                <w:sz w:val="16"/>
                <w:szCs w:val="16"/>
                <w:shd w:fill="auto" w:val="clear"/>
              </w:rPr>
              <w:t>18598,65</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13494,800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13494,800</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13494,800</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13494,800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13494,800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xml:space="preserve"> </w:t>
            </w:r>
            <w:r>
              <w:rPr>
                <w:rFonts w:eastAsia="" w:cs="Times New Roman"/>
                <w:kern w:val="0"/>
                <w:sz w:val="16"/>
                <w:szCs w:val="16"/>
                <w:lang w:val="ru-RU" w:bidi="ar-SA"/>
              </w:rPr>
              <w:t>- средства районного бюджета</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5103,844</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5103,843</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5103,844</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5103,844</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5103,843</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b/>
                <w:bCs/>
                <w:i w:val="false"/>
                <w:caps w:val="false"/>
                <w:smallCaps w:val="false"/>
                <w:color w:val="000000"/>
                <w:spacing w:val="0"/>
                <w:sz w:val="16"/>
                <w:szCs w:val="16"/>
                <w:shd w:fill="auto" w:val="clear"/>
              </w:rPr>
              <w:t>Комплекс процессных мероприятий "Создание условий для обеспечения населения качественными услугами жилищно-коммунального хозяйства"</w:t>
            </w:r>
          </w:p>
        </w:tc>
        <w:tc>
          <w:tcPr>
            <w:tcW w:w="2662" w:type="dxa"/>
            <w:vMerge w:val="restart"/>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892 0503 1140171350 244</w:t>
            </w:r>
          </w:p>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200</w:t>
            </w:r>
          </w:p>
          <w:p>
            <w:pPr>
              <w:pStyle w:val="Normal"/>
              <w:widowControl w:val="false"/>
              <w:suppressAutoHyphens w:val="true"/>
              <w:bidi w:val="0"/>
              <w:spacing w:lineRule="auto" w:line="240" w:before="0" w:after="0"/>
              <w:ind w:left="0" w:right="0" w:hanging="0"/>
              <w:jc w:val="center"/>
              <w:rPr>
                <w:rFonts w:ascii="Times New Roman" w:hAnsi="Times New Roman"/>
                <w:kern w:val="0"/>
                <w:sz w:val="16"/>
                <w:szCs w:val="16"/>
                <w:highlight w:val="none"/>
                <w:shd w:fill="auto" w:val="clear"/>
                <w:lang w:val="ru-RU" w:bidi="ar-SA"/>
              </w:rPr>
            </w:pPr>
            <w:r>
              <w:rPr>
                <w:kern w:val="0"/>
                <w:sz w:val="16"/>
                <w:szCs w:val="16"/>
                <w:shd w:fill="auto" w:val="clear"/>
                <w:lang w:val="ru-RU" w:bidi="ar-SA"/>
              </w:rPr>
            </w:r>
          </w:p>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850 0503 1140161340 244 300</w:t>
            </w:r>
          </w:p>
          <w:p>
            <w:pPr>
              <w:pStyle w:val="Normal"/>
              <w:widowControl w:val="false"/>
              <w:suppressAutoHyphens w:val="true"/>
              <w:bidi w:val="0"/>
              <w:spacing w:lineRule="auto" w:line="240" w:before="0" w:after="0"/>
              <w:ind w:left="0" w:right="0" w:hanging="0"/>
              <w:jc w:val="center"/>
              <w:rPr>
                <w:rFonts w:ascii="Times New Roman" w:hAnsi="Times New Roman"/>
                <w:kern w:val="0"/>
                <w:sz w:val="16"/>
                <w:szCs w:val="16"/>
                <w:highlight w:val="none"/>
                <w:shd w:fill="auto" w:val="clear"/>
                <w:lang w:val="ru-RU" w:bidi="ar-SA"/>
              </w:rPr>
            </w:pPr>
            <w:r>
              <w:rPr>
                <w:kern w:val="0"/>
                <w:sz w:val="16"/>
                <w:szCs w:val="16"/>
                <w:shd w:fill="auto" w:val="clear"/>
                <w:lang w:val="ru-RU" w:bidi="ar-SA"/>
              </w:rPr>
            </w:r>
          </w:p>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855 0503 1140161340 244300</w:t>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99,9</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17,000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17,000</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17,000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xml:space="preserve"> </w:t>
            </w:r>
            <w:r>
              <w:rPr>
                <w:rFonts w:eastAsia="" w:cs="Times New Roman"/>
                <w:kern w:val="0"/>
                <w:sz w:val="16"/>
                <w:szCs w:val="16"/>
                <w:lang w:val="ru-RU" w:bidi="ar-SA"/>
              </w:rPr>
              <w:t>- средства районного бюджета</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28468,000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28466,960</w:t>
            </w:r>
          </w:p>
        </w:tc>
        <w:tc>
          <w:tcPr>
            <w:tcW w:w="1167"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28468,000</w:t>
            </w:r>
          </w:p>
        </w:tc>
        <w:tc>
          <w:tcPr>
            <w:tcW w:w="124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28468,000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28466,960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mes New Roman"/>
                <w:b/>
                <w:bCs/>
                <w:kern w:val="0"/>
                <w:sz w:val="16"/>
                <w:szCs w:val="16"/>
                <w:shd w:fill="auto" w:val="clear"/>
                <w:lang w:val="ru-RU" w:bidi="ar-SA"/>
              </w:rPr>
              <w:t>Региональный проект «Формирование комфортной городской среды»:</w:t>
            </w:r>
          </w:p>
        </w:tc>
        <w:tc>
          <w:tcPr>
            <w:tcW w:w="2662" w:type="dxa"/>
            <w:vMerge w:val="restart"/>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rFonts w:cs="Times New Roman"/>
                <w:b/>
                <w:bCs/>
                <w:sz w:val="16"/>
                <w:szCs w:val="16"/>
                <w:shd w:fill="auto" w:val="clear"/>
              </w:rPr>
              <w:t>109641,600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107941,36</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rFonts w:cs="Times New Roman"/>
                <w:b/>
                <w:bCs/>
                <w:sz w:val="16"/>
                <w:szCs w:val="16"/>
                <w:shd w:fill="auto" w:val="clear"/>
              </w:rPr>
              <w:t>107941,6</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rFonts w:cs="Times New Roman"/>
                <w:b/>
                <w:bCs/>
                <w:sz w:val="16"/>
                <w:szCs w:val="16"/>
                <w:shd w:fill="auto" w:val="clear"/>
              </w:rPr>
              <w:t>107941,6</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107941,36</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95899,100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95899,1</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95899,100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95899,100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95899,1</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2312,000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2311,896</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2312,000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2312,000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2311,896</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xml:space="preserve"> </w:t>
            </w:r>
            <w:r>
              <w:rPr>
                <w:rFonts w:eastAsia="" w:cs="Times New Roman"/>
                <w:kern w:val="0"/>
                <w:sz w:val="16"/>
                <w:szCs w:val="16"/>
                <w:lang w:val="ru-RU" w:bidi="ar-SA"/>
              </w:rPr>
              <w:t>- средства районного бюджета</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9730,500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9730,316</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9730,500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9730,500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9730,316</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внебюджетные источники</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napToGrid w:val="false"/>
              <w:spacing w:lineRule="auto" w:line="240" w:before="0" w:after="0"/>
              <w:ind w:left="0" w:right="0" w:hanging="0"/>
              <w:contextualSpacing/>
              <w:jc w:val="center"/>
              <w:rPr>
                <w:sz w:val="16"/>
                <w:szCs w:val="16"/>
              </w:rPr>
            </w:pPr>
            <w:r>
              <w:rPr>
                <w:rFonts w:cs="Times New Roman"/>
                <w:sz w:val="16"/>
                <w:szCs w:val="16"/>
                <w:shd w:fill="auto" w:val="clear"/>
              </w:rPr>
              <w:t>1700,000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167"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w:t>
            </w:r>
          </w:p>
        </w:tc>
        <w:tc>
          <w:tcPr>
            <w:tcW w:w="124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Normal"/>
              <w:widowControl w:val="false"/>
              <w:bidi w:val="0"/>
              <w:ind w:left="0" w:right="0" w:hanging="0"/>
              <w:jc w:val="center"/>
              <w:rPr>
                <w:sz w:val="16"/>
                <w:szCs w:val="16"/>
              </w:rPr>
            </w:pPr>
            <w:r>
              <w:rPr>
                <w:rFonts w:eastAsia="Times New Roman" w:cs="Times New Roman"/>
                <w:b/>
                <w:bCs/>
                <w:i w:val="false"/>
                <w:strike w:val="false"/>
                <w:dstrike w:val="false"/>
                <w:outline w:val="false"/>
                <w:shadow w:val="false"/>
                <w:color w:val="000000"/>
                <w:sz w:val="16"/>
                <w:szCs w:val="16"/>
                <w:u w:val="none"/>
                <w:shd w:fill="auto" w:val="clear"/>
                <w:em w:val="none"/>
              </w:rPr>
              <w:t>Реализация программ формирования современной городской среды</w:t>
            </w:r>
          </w:p>
        </w:tc>
        <w:tc>
          <w:tcPr>
            <w:tcW w:w="2662" w:type="dxa"/>
            <w:vMerge w:val="restart"/>
            <w:tcBorders>
              <w:left w:val="single" w:sz="4" w:space="0" w:color="000000"/>
              <w:bottom w:val="single" w:sz="4" w:space="0" w:color="000000"/>
            </w:tcBorders>
            <w:shd w:color="auto" w:fill="auto" w:val="clear"/>
          </w:tcPr>
          <w:p>
            <w:pPr>
              <w:pStyle w:val="1"/>
              <w:widowControl w:val="false"/>
              <w:jc w:val="center"/>
              <w:rPr>
                <w:rFonts w:ascii="Times New Roman" w:hAnsi="Times New Roman"/>
                <w:sz w:val="16"/>
                <w:szCs w:val="16"/>
              </w:rPr>
            </w:pPr>
            <w:r>
              <w:rPr>
                <w:rFonts w:cs="Times New Roman" w:ascii="Times New Roman" w:hAnsi="Times New Roman"/>
                <w:sz w:val="16"/>
                <w:szCs w:val="16"/>
                <w:shd w:fill="auto" w:val="clear"/>
              </w:rPr>
              <w:t>892 0503 111И455550</w:t>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b/>
                <w:bCs/>
                <w:sz w:val="16"/>
                <w:szCs w:val="16"/>
                <w:shd w:fill="auto" w:val="clear"/>
              </w:rPr>
              <w:t>31542,700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31542,553</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b/>
                <w:bCs/>
                <w:sz w:val="16"/>
                <w:szCs w:val="16"/>
                <w:shd w:fill="auto" w:val="clear"/>
              </w:rPr>
              <w:t>31542,700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b/>
                <w:bCs/>
                <w:sz w:val="16"/>
                <w:szCs w:val="16"/>
                <w:shd w:fill="auto" w:val="clear"/>
              </w:rPr>
              <w:t>31542,700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31542,553</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25000,000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25000,000</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25000,000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25000,000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25000,000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1595,800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1595,744</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1595,800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1595,800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1595,744</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xml:space="preserve"> </w:t>
            </w:r>
            <w:r>
              <w:rPr>
                <w:rFonts w:eastAsia="" w:cs="Times New Roman"/>
                <w:kern w:val="0"/>
                <w:sz w:val="16"/>
                <w:szCs w:val="16"/>
                <w:lang w:val="ru-RU" w:bidi="ar-SA"/>
              </w:rPr>
              <w:t>- средства районного бюджета</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4946,900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4946,809</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4946,900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4946,900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4946,809</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Normal"/>
              <w:widowControl w:val="false"/>
              <w:bidi w:val="0"/>
              <w:ind w:left="0" w:right="0" w:hanging="0"/>
              <w:jc w:val="center"/>
              <w:rPr>
                <w:sz w:val="16"/>
                <w:szCs w:val="16"/>
              </w:rPr>
            </w:pPr>
            <w:r>
              <w:rPr>
                <w:b/>
                <w:bCs/>
                <w:i w:val="false"/>
                <w:strike w:val="false"/>
                <w:dstrike w:val="false"/>
                <w:outline w:val="false"/>
                <w:shadow w:val="false"/>
                <w:color w:val="000000"/>
                <w:sz w:val="16"/>
                <w:szCs w:val="16"/>
                <w:u w:val="none"/>
                <w:shd w:fill="auto" w:val="clear"/>
                <w:em w:val="none"/>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662" w:type="dxa"/>
            <w:vMerge w:val="restart"/>
            <w:tcBorders>
              <w:left w:val="single" w:sz="4" w:space="0" w:color="000000"/>
              <w:bottom w:val="single" w:sz="4" w:space="0" w:color="000000"/>
            </w:tcBorders>
            <w:shd w:color="auto" w:fill="auto" w:val="clear"/>
          </w:tcPr>
          <w:p>
            <w:pPr>
              <w:pStyle w:val="1"/>
              <w:widowControl w:val="false"/>
              <w:jc w:val="center"/>
              <w:rPr>
                <w:rFonts w:ascii="Times New Roman" w:hAnsi="Times New Roman"/>
                <w:sz w:val="16"/>
                <w:szCs w:val="16"/>
              </w:rPr>
            </w:pPr>
            <w:r>
              <w:rPr>
                <w:rFonts w:cs="Times New Roman" w:ascii="Times New Roman" w:hAnsi="Times New Roman"/>
                <w:sz w:val="16"/>
                <w:szCs w:val="16"/>
                <w:shd w:fill="auto" w:val="clear"/>
              </w:rPr>
              <w:t>892 0505 111И454240</w:t>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57" w:right="0" w:hanging="0"/>
              <w:contextualSpacing/>
              <w:jc w:val="center"/>
              <w:rPr>
                <w:rFonts w:ascii="Times New Roman" w:hAnsi="Times New Roman"/>
                <w:b/>
                <w:bCs/>
                <w:shd w:fill="auto" w:val="clear"/>
              </w:rPr>
            </w:pPr>
            <w:r>
              <w:rPr>
                <w:b/>
                <w:bCs/>
                <w:shd w:fill="auto" w:val="clear"/>
              </w:rPr>
            </w:r>
          </w:p>
          <w:p>
            <w:pPr>
              <w:pStyle w:val="Normal"/>
              <w:widowControl w:val="false"/>
              <w:suppressAutoHyphens w:val="true"/>
              <w:bidi w:val="0"/>
              <w:spacing w:lineRule="auto" w:line="240" w:before="0" w:after="0"/>
              <w:ind w:left="57" w:right="0" w:hanging="0"/>
              <w:contextualSpacing/>
              <w:jc w:val="center"/>
              <w:rPr>
                <w:rFonts w:ascii="Times New Roman" w:hAnsi="Times New Roman"/>
                <w:b/>
                <w:bCs/>
                <w:shd w:fill="auto" w:val="clear"/>
              </w:rPr>
            </w:pPr>
            <w:r>
              <w:rPr>
                <w:b/>
                <w:bCs/>
                <w:shd w:fill="auto" w:val="clear"/>
              </w:rPr>
            </w:r>
          </w:p>
          <w:p>
            <w:pPr>
              <w:pStyle w:val="Normal"/>
              <w:widowControl w:val="false"/>
              <w:suppressAutoHyphens w:val="true"/>
              <w:bidi w:val="0"/>
              <w:spacing w:lineRule="auto" w:line="240" w:before="0" w:after="0"/>
              <w:ind w:left="0" w:right="0" w:hanging="0"/>
              <w:contextualSpacing/>
              <w:jc w:val="center"/>
              <w:rPr>
                <w:sz w:val="16"/>
                <w:szCs w:val="16"/>
              </w:rPr>
            </w:pPr>
            <w:r>
              <w:rPr>
                <w:b/>
                <w:bCs/>
                <w:sz w:val="16"/>
                <w:szCs w:val="16"/>
                <w:shd w:fill="auto" w:val="clear"/>
              </w:rPr>
              <w:t>78098,900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76398,807</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57" w:right="0" w:hanging="0"/>
              <w:contextualSpacing/>
              <w:jc w:val="center"/>
              <w:rPr>
                <w:sz w:val="16"/>
                <w:szCs w:val="16"/>
              </w:rPr>
            </w:pPr>
            <w:r>
              <w:rPr>
                <w:b/>
                <w:bCs/>
                <w:sz w:val="16"/>
                <w:szCs w:val="16"/>
                <w:shd w:fill="auto" w:val="clear"/>
              </w:rPr>
              <w:t>76398,900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57" w:right="0" w:hanging="0"/>
              <w:contextualSpacing/>
              <w:jc w:val="center"/>
              <w:rPr>
                <w:sz w:val="16"/>
                <w:szCs w:val="16"/>
              </w:rPr>
            </w:pPr>
            <w:r>
              <w:rPr>
                <w:b/>
                <w:bCs/>
                <w:sz w:val="16"/>
                <w:szCs w:val="16"/>
                <w:shd w:fill="auto" w:val="clear"/>
              </w:rPr>
              <w:t>76398,900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76398,807</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70899,100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70899,100</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70899,100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70899,100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70899,100</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716,200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716,152</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716,200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716,200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716,152</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xml:space="preserve"> </w:t>
            </w:r>
            <w:r>
              <w:rPr>
                <w:rFonts w:eastAsia="" w:cs="Times New Roman"/>
                <w:kern w:val="0"/>
                <w:sz w:val="16"/>
                <w:szCs w:val="16"/>
                <w:lang w:val="ru-RU" w:bidi="ar-SA"/>
              </w:rPr>
              <w:t>- средства районного бюджета</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4783,600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4783,507</w:t>
            </w:r>
          </w:p>
        </w:tc>
        <w:tc>
          <w:tcPr>
            <w:tcW w:w="1167"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4783,600</w:t>
            </w:r>
          </w:p>
        </w:tc>
        <w:tc>
          <w:tcPr>
            <w:tcW w:w="1246" w:type="dxa"/>
            <w:tcBorders>
              <w:left w:val="single" w:sz="4" w:space="0" w:color="000000"/>
              <w:bottom w:val="single" w:sz="4" w:space="0" w:color="000000"/>
            </w:tcBorders>
            <w:shd w:color="auto" w:fill="auto" w:val="clear"/>
            <w:vAlign w:val="cente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4783,600</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4783,507</w:t>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r>
        <w:trPr>
          <w:trHeight w:val="20" w:hRule="atLeast"/>
        </w:trPr>
        <w:tc>
          <w:tcPr>
            <w:tcW w:w="392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внебюджетные источники</w:t>
            </w:r>
          </w:p>
        </w:tc>
        <w:tc>
          <w:tcPr>
            <w:tcW w:w="2662" w:type="dxa"/>
            <w:vMerge w:val="continue"/>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333" w:type="dxa"/>
            <w:tcBorders>
              <w:left w:val="single" w:sz="4" w:space="0" w:color="000000"/>
              <w:bottom w:val="single" w:sz="4" w:space="0" w:color="000000"/>
            </w:tcBorders>
            <w:shd w:color="auto" w:fill="auto" w:val="clear"/>
          </w:tcPr>
          <w:p>
            <w:pPr>
              <w:pStyle w:val="Normal"/>
              <w:widowControl w:val="false"/>
              <w:suppressAutoHyphens w:val="true"/>
              <w:bidi w:val="0"/>
              <w:spacing w:lineRule="auto" w:line="240" w:before="0" w:after="0"/>
              <w:ind w:left="0" w:right="0" w:hanging="0"/>
              <w:contextualSpacing/>
              <w:jc w:val="center"/>
              <w:rPr>
                <w:sz w:val="16"/>
                <w:szCs w:val="16"/>
              </w:rPr>
            </w:pPr>
            <w:r>
              <w:rPr>
                <w:sz w:val="16"/>
                <w:szCs w:val="16"/>
                <w:shd w:fill="auto" w:val="clear"/>
              </w:rPr>
              <w:t>1700,000</w:t>
            </w:r>
          </w:p>
        </w:tc>
        <w:tc>
          <w:tcPr>
            <w:tcW w:w="1024"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167"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w:t>
            </w:r>
          </w:p>
        </w:tc>
        <w:tc>
          <w:tcPr>
            <w:tcW w:w="1246" w:type="dxa"/>
            <w:tcBorders>
              <w:left w:val="single" w:sz="4" w:space="0" w:color="000000"/>
              <w:bottom w:val="single" w:sz="4" w:space="0" w:color="000000"/>
            </w:tcBorders>
            <w:shd w:color="auto" w:fill="auto" w:val="clear"/>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w:t>
            </w:r>
          </w:p>
        </w:tc>
        <w:tc>
          <w:tcPr>
            <w:tcW w:w="1085"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536" w:type="dxa"/>
            <w:tcBorders>
              <w:left w:val="single" w:sz="4" w:space="0" w:color="000000"/>
              <w:bottom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c>
          <w:tcPr>
            <w:tcW w:w="1274" w:type="dxa"/>
            <w:tcBorders>
              <w:left w:val="single" w:sz="4" w:space="0" w:color="000000"/>
              <w:bottom w:val="single" w:sz="4" w:space="0" w:color="000000"/>
              <w:right w:val="single" w:sz="4" w:space="0" w:color="000000"/>
            </w:tcBorders>
            <w:shd w:color="auto" w:fill="auto" w:val="clea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r>
          </w:p>
        </w:tc>
      </w:tr>
    </w:tbl>
    <w:p>
      <w:pPr>
        <w:pStyle w:val="Normal"/>
        <w:rPr>
          <w:rFonts w:ascii="Times New Roman" w:hAnsi="Times New Roman"/>
          <w:bCs/>
          <w:color w:val="000000"/>
          <w:sz w:val="20"/>
        </w:rPr>
      </w:pPr>
      <w:r>
        <w:rPr>
          <w:bCs/>
          <w:color w:val="000000"/>
          <w:sz w:val="20"/>
        </w:rPr>
      </w:r>
      <w:r>
        <w:br w:type="page"/>
      </w:r>
    </w:p>
    <w:p>
      <w:pPr>
        <w:pStyle w:val="Normal"/>
        <w:spacing w:lineRule="auto" w:line="240" w:before="0" w:after="0"/>
        <w:jc w:val="center"/>
        <w:rPr>
          <w:rFonts w:ascii="Times New Roman" w:hAnsi="Times New Roman"/>
          <w:bCs/>
          <w:color w:val="000000"/>
          <w:sz w:val="24"/>
          <w:szCs w:val="24"/>
        </w:rPr>
      </w:pPr>
      <w:r>
        <w:rPr>
          <w:bCs/>
          <w:color w:val="000000"/>
          <w:sz w:val="24"/>
          <w:szCs w:val="24"/>
        </w:rPr>
        <w:t>3.1. Сведения об исполнении бюджетных ассигнований на реализацию муниципальной программы по источникам финансирования дефицита  бюджета муниципального округа</w:t>
      </w:r>
      <w:r>
        <w:rPr>
          <w:rStyle w:val="Style18"/>
          <w:bCs/>
          <w:color w:val="000000"/>
          <w:sz w:val="24"/>
          <w:szCs w:val="24"/>
        </w:rPr>
        <w:footnoteReference w:id="10"/>
      </w:r>
    </w:p>
    <w:p>
      <w:pPr>
        <w:pStyle w:val="Normal"/>
        <w:spacing w:lineRule="auto" w:line="240" w:before="0" w:after="0"/>
        <w:ind w:left="357" w:right="539" w:hanging="0"/>
        <w:jc w:val="center"/>
        <w:rPr>
          <w:rFonts w:ascii="Times New Roman" w:hAnsi="Times New Roman"/>
          <w:bCs/>
          <w:color w:val="000000"/>
          <w:sz w:val="20"/>
        </w:rPr>
      </w:pPr>
      <w:r>
        <w:rPr>
          <w:bCs/>
          <w:color w:val="000000"/>
          <w:sz w:val="20"/>
        </w:rPr>
      </w:r>
    </w:p>
    <w:tbl>
      <w:tblPr>
        <w:tblStyle w:val="aa"/>
        <w:tblW w:w="15135" w:type="dxa"/>
        <w:jc w:val="left"/>
        <w:tblInd w:w="-5" w:type="dxa"/>
        <w:tblLayout w:type="fixed"/>
        <w:tblCellMar>
          <w:top w:w="55" w:type="dxa"/>
          <w:left w:w="108" w:type="dxa"/>
          <w:bottom w:w="55" w:type="dxa"/>
          <w:right w:w="108" w:type="dxa"/>
        </w:tblCellMar>
        <w:tblLook w:noVBand="1" w:val="04a0" w:noHBand="0" w:lastColumn="0" w:firstColumn="1" w:lastRow="0" w:firstRow="1"/>
      </w:tblPr>
      <w:tblGrid>
        <w:gridCol w:w="5465"/>
        <w:gridCol w:w="1843"/>
        <w:gridCol w:w="1842"/>
        <w:gridCol w:w="1561"/>
        <w:gridCol w:w="1557"/>
        <w:gridCol w:w="2866"/>
      </w:tblGrid>
      <w:tr>
        <w:trPr>
          <w:tblHeader w:val="true"/>
          <w:trHeight w:val="305" w:hRule="atLeast"/>
        </w:trPr>
        <w:tc>
          <w:tcPr>
            <w:tcW w:w="5465" w:type="dxa"/>
            <w:vMerge w:val="restart"/>
            <w:tcBorders>
              <w:top w:val="single" w:sz="4" w:space="0" w:color="000000"/>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Наименование структурного элемента</w:t>
            </w:r>
          </w:p>
        </w:tc>
        <w:tc>
          <w:tcPr>
            <w:tcW w:w="5246" w:type="dxa"/>
            <w:gridSpan w:val="3"/>
            <w:tcBorders>
              <w:top w:val="single" w:sz="4" w:space="0" w:color="000000"/>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Объем финансового обеспечения, тыс. рублей</w:t>
            </w:r>
          </w:p>
        </w:tc>
        <w:tc>
          <w:tcPr>
            <w:tcW w:w="1557" w:type="dxa"/>
            <w:vMerge w:val="restart"/>
            <w:tcBorders>
              <w:top w:val="single" w:sz="4" w:space="0" w:color="000000"/>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Процент исполнения, (4)/(3)*100</w:t>
            </w:r>
          </w:p>
        </w:tc>
        <w:tc>
          <w:tcPr>
            <w:tcW w:w="2866"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Комментарий</w:t>
            </w:r>
          </w:p>
        </w:tc>
      </w:tr>
      <w:tr>
        <w:trPr>
          <w:tblHeader w:val="true"/>
          <w:trHeight w:val="463" w:hRule="atLeast"/>
        </w:trPr>
        <w:tc>
          <w:tcPr>
            <w:tcW w:w="5465" w:type="dxa"/>
            <w:vMerge w:val="continue"/>
            <w:tcBorders>
              <w:left w:val="single" w:sz="4" w:space="0" w:color="000000"/>
              <w:bottom w:val="single" w:sz="4" w:space="0" w:color="000000"/>
            </w:tcBorders>
          </w:tcPr>
          <w:p>
            <w:pPr>
              <w:pStyle w:val="ConsPlusNormal"/>
              <w:widowControl w:val="false"/>
              <w:suppressAutoHyphens w:val="true"/>
              <w:spacing w:before="220" w:after="0"/>
              <w:jc w:val="center"/>
              <w:rPr>
                <w:rFonts w:ascii="Times New Roman" w:hAnsi="Times New Roman" w:cs="Times New Roman"/>
                <w:b/>
                <w:bCs/>
                <w:color w:val="000000"/>
                <w:sz w:val="16"/>
                <w:szCs w:val="16"/>
              </w:rPr>
            </w:pPr>
            <w:r>
              <w:rPr>
                <w:rFonts w:cs="Times New Roman" w:ascii="Times New Roman" w:hAnsi="Times New Roman"/>
                <w:b/>
                <w:bCs/>
                <w:color w:val="000000"/>
                <w:sz w:val="16"/>
                <w:szCs w:val="16"/>
              </w:rPr>
            </w:r>
          </w:p>
        </w:tc>
        <w:tc>
          <w:tcPr>
            <w:tcW w:w="1843" w:type="dxa"/>
            <w:tcBorders>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Предусмотрено паспортом</w:t>
            </w:r>
          </w:p>
        </w:tc>
        <w:tc>
          <w:tcPr>
            <w:tcW w:w="1842" w:type="dxa"/>
            <w:tcBorders>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Сводная бюджетная роспись</w:t>
            </w:r>
          </w:p>
        </w:tc>
        <w:tc>
          <w:tcPr>
            <w:tcW w:w="1561" w:type="dxa"/>
            <w:tcBorders>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Кассовое исполнение</w:t>
            </w:r>
          </w:p>
        </w:tc>
        <w:tc>
          <w:tcPr>
            <w:tcW w:w="1557" w:type="dxa"/>
            <w:vMerge w:val="continue"/>
            <w:tcBorders>
              <w:left w:val="single" w:sz="4" w:space="0" w:color="000000"/>
              <w:bottom w:val="single" w:sz="4" w:space="0" w:color="000000"/>
            </w:tcBorders>
          </w:tcPr>
          <w:p>
            <w:pPr>
              <w:pStyle w:val="ConsPlusNormal"/>
              <w:widowControl w:val="false"/>
              <w:suppressAutoHyphens w:val="true"/>
              <w:spacing w:before="22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c>
          <w:tcPr>
            <w:tcW w:w="2866" w:type="dxa"/>
            <w:vMerge w:val="continue"/>
            <w:tcBorders>
              <w:left w:val="single" w:sz="4" w:space="0" w:color="000000"/>
              <w:bottom w:val="single" w:sz="4" w:space="0" w:color="000000"/>
              <w:right w:val="single" w:sz="4" w:space="0" w:color="000000"/>
            </w:tcBorders>
          </w:tcPr>
          <w:p>
            <w:pPr>
              <w:pStyle w:val="ConsPlusNormal"/>
              <w:widowControl w:val="false"/>
              <w:suppressAutoHyphens w:val="true"/>
              <w:spacing w:before="22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r>
        <w:trPr>
          <w:trHeight w:val="271" w:hRule="atLeast"/>
        </w:trPr>
        <w:tc>
          <w:tcPr>
            <w:tcW w:w="5465"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eastAsia="" w:cs="Times New Roman" w:ascii="Times New Roman" w:hAnsi="Times New Roman"/>
                <w:bCs/>
                <w:color w:val="000000"/>
                <w:kern w:val="0"/>
                <w:sz w:val="16"/>
                <w:szCs w:val="16"/>
                <w:lang w:val="ru-RU" w:eastAsia="en-US" w:bidi="ar-SA"/>
              </w:rPr>
              <w:t>1</w:t>
            </w:r>
          </w:p>
        </w:tc>
        <w:tc>
          <w:tcPr>
            <w:tcW w:w="1843"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eastAsia="" w:cs="Times New Roman" w:ascii="Times New Roman" w:hAnsi="Times New Roman"/>
                <w:bCs/>
                <w:color w:val="000000"/>
                <w:kern w:val="0"/>
                <w:sz w:val="16"/>
                <w:szCs w:val="16"/>
                <w:lang w:val="ru-RU" w:eastAsia="en-US" w:bidi="ar-SA"/>
              </w:rPr>
              <w:t>2</w:t>
            </w:r>
          </w:p>
        </w:tc>
        <w:tc>
          <w:tcPr>
            <w:tcW w:w="1842"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eastAsia="" w:cs="Times New Roman" w:ascii="Times New Roman" w:hAnsi="Times New Roman"/>
                <w:bCs/>
                <w:color w:val="000000"/>
                <w:kern w:val="0"/>
                <w:sz w:val="16"/>
                <w:szCs w:val="16"/>
                <w:lang w:val="ru-RU" w:eastAsia="en-US" w:bidi="ar-SA"/>
              </w:rPr>
              <w:t>3</w:t>
            </w:r>
          </w:p>
        </w:tc>
        <w:tc>
          <w:tcPr>
            <w:tcW w:w="1561"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eastAsia="" w:cs="Times New Roman" w:ascii="Times New Roman" w:hAnsi="Times New Roman"/>
                <w:bCs/>
                <w:color w:val="000000"/>
                <w:kern w:val="0"/>
                <w:sz w:val="16"/>
                <w:szCs w:val="16"/>
                <w:lang w:val="ru-RU" w:eastAsia="en-US" w:bidi="ar-SA"/>
              </w:rPr>
              <w:t>4</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eastAsia="" w:cs="Times New Roman" w:ascii="Times New Roman" w:hAnsi="Times New Roman"/>
                <w:bCs/>
                <w:color w:val="000000"/>
                <w:kern w:val="0"/>
                <w:sz w:val="16"/>
                <w:szCs w:val="16"/>
                <w:lang w:val="ru-RU" w:eastAsia="en-US" w:bidi="ar-SA"/>
              </w:rPr>
              <w:t>5</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eastAsia="" w:cs="Times New Roman" w:ascii="Times New Roman" w:hAnsi="Times New Roman"/>
                <w:bCs/>
                <w:color w:val="000000"/>
                <w:kern w:val="0"/>
                <w:sz w:val="16"/>
                <w:szCs w:val="16"/>
                <w:lang w:val="ru-RU" w:eastAsia="en-US" w:bidi="ar-SA"/>
              </w:rPr>
              <w:t>6</w:t>
            </w:r>
          </w:p>
        </w:tc>
      </w:tr>
      <w:tr>
        <w:trPr>
          <w:trHeight w:val="598" w:hRule="atLeast"/>
        </w:trPr>
        <w:tc>
          <w:tcPr>
            <w:tcW w:w="5465" w:type="dxa"/>
            <w:tcBorders>
              <w:left w:val="single" w:sz="4" w:space="0" w:color="000000"/>
              <w:bottom w:val="single" w:sz="4" w:space="0" w:color="000000"/>
            </w:tcBorders>
          </w:tcPr>
          <w:p>
            <w:pPr>
              <w:pStyle w:val="Normal"/>
              <w:widowControl w:val="false"/>
              <w:suppressAutoHyphens w:val="true"/>
              <w:spacing w:lineRule="auto" w:line="240" w:before="0" w:after="0"/>
              <w:jc w:val="both"/>
              <w:rPr>
                <w:rFonts w:ascii="Times New Roman" w:hAnsi="Times New Roman"/>
                <w:sz w:val="16"/>
                <w:szCs w:val="16"/>
              </w:rPr>
            </w:pPr>
            <w:r>
              <w:rPr>
                <w:rFonts w:eastAsia="" w:cs="Times New Roman"/>
                <w:kern w:val="0"/>
                <w:sz w:val="16"/>
                <w:szCs w:val="16"/>
                <w:lang w:val="ru-RU" w:eastAsia="en-US" w:bidi="ar-SA"/>
              </w:rPr>
              <w:t>Муниципальная программа «</w:t>
            </w:r>
            <w:r>
              <w:rPr>
                <w:rFonts w:eastAsia="" w:cs="Times New Roman"/>
                <w:b/>
                <w:i/>
                <w:color w:val="000000"/>
                <w:kern w:val="0"/>
                <w:sz w:val="16"/>
                <w:szCs w:val="16"/>
                <w:lang w:val="ru-RU" w:eastAsia="en-US" w:bidi="ar-SA"/>
              </w:rPr>
              <w:t>Формирование современной городской среды на территории Красногвардейского муниципального округа</w:t>
            </w:r>
            <w:r>
              <w:rPr>
                <w:rFonts w:eastAsia="" w:cs="Times New Roman"/>
                <w:kern w:val="0"/>
                <w:sz w:val="16"/>
                <w:szCs w:val="16"/>
                <w:lang w:val="ru-RU" w:eastAsia="en-US" w:bidi="ar-SA"/>
              </w:rPr>
              <w:t>» за счет бюджетных ассигнований по источникам финансирования дефицита бюджета муниципального округа, всего, в том числе:</w:t>
            </w:r>
          </w:p>
        </w:tc>
        <w:tc>
          <w:tcPr>
            <w:tcW w:w="184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eastAsia="Arial" w:cs="Tinos"/>
                <w:b/>
                <w:kern w:val="0"/>
                <w:sz w:val="16"/>
                <w:szCs w:val="16"/>
                <w:shd w:fill="auto" w:val="clear"/>
                <w:lang w:val="ru-RU" w:bidi="ar-SA"/>
              </w:rPr>
              <w:t>156725,2</w:t>
            </w:r>
          </w:p>
        </w:tc>
        <w:tc>
          <w:tcPr>
            <w:tcW w:w="1842"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155006,917</w:t>
            </w:r>
          </w:p>
        </w:tc>
        <w:tc>
          <w:tcPr>
            <w:tcW w:w="1561"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155006,917</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98</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r>
        <w:trPr>
          <w:trHeight w:val="323" w:hRule="atLeast"/>
        </w:trPr>
        <w:tc>
          <w:tcPr>
            <w:tcW w:w="5465" w:type="dxa"/>
            <w:tcBorders>
              <w:left w:val="single" w:sz="4" w:space="0" w:color="000000"/>
              <w:bottom w:val="single" w:sz="4" w:space="0" w:color="000000"/>
            </w:tcBorders>
          </w:tcPr>
          <w:p>
            <w:pPr>
              <w:pStyle w:val="Normal"/>
              <w:widowControl w:val="false"/>
              <w:suppressAutoHyphens w:val="true"/>
              <w:spacing w:lineRule="auto" w:line="240" w:before="0" w:after="0"/>
              <w:jc w:val="both"/>
              <w:rPr>
                <w:rFonts w:ascii="Times New Roman" w:hAnsi="Times New Roman"/>
                <w:sz w:val="16"/>
                <w:szCs w:val="16"/>
              </w:rPr>
            </w:pPr>
            <w:r>
              <w:rPr>
                <w:rFonts w:eastAsia="" w:cs="Times New Roman"/>
                <w:kern w:val="0"/>
                <w:sz w:val="16"/>
                <w:szCs w:val="16"/>
                <w:lang w:val="ru-RU" w:eastAsia="en-US" w:bidi="ar-SA"/>
              </w:rPr>
              <w:t>Структурный элемент муниципальной программы «</w:t>
            </w:r>
            <w:r>
              <w:rPr>
                <w:rFonts w:eastAsia="" w:cs="Tinos"/>
                <w:b/>
                <w:bCs/>
                <w:i w:val="false"/>
                <w:iCs w:val="false"/>
                <w:kern w:val="0"/>
                <w:sz w:val="16"/>
                <w:szCs w:val="16"/>
                <w:shd w:fill="auto" w:val="clear"/>
                <w:lang w:val="ru-RU" w:eastAsia="en-US" w:bidi="ar-SA"/>
              </w:rPr>
              <w:t>Региональный проект «Решаем вместе» в рамках инициативного бюджетирования</w:t>
            </w:r>
            <w:r>
              <w:rPr>
                <w:rFonts w:eastAsia="" w:cs="Times New Roman"/>
                <w:kern w:val="0"/>
                <w:sz w:val="16"/>
                <w:szCs w:val="16"/>
                <w:lang w:val="ru-RU" w:eastAsia="en-US" w:bidi="ar-SA"/>
              </w:rPr>
              <w:t>»</w:t>
            </w:r>
          </w:p>
        </w:tc>
        <w:tc>
          <w:tcPr>
            <w:tcW w:w="1843" w:type="dxa"/>
            <w:tcBorders>
              <w:left w:val="single" w:sz="4" w:space="0" w:color="000000"/>
              <w:bottom w:val="single" w:sz="4" w:space="0" w:color="000000"/>
            </w:tcBorders>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sz w:val="16"/>
                <w:szCs w:val="16"/>
                <w:shd w:fill="auto" w:val="clear"/>
              </w:rPr>
              <w:t>18598,65</w:t>
            </w:r>
          </w:p>
        </w:tc>
        <w:tc>
          <w:tcPr>
            <w:tcW w:w="1842" w:type="dxa"/>
            <w:tcBorders>
              <w:left w:val="single" w:sz="4" w:space="0" w:color="000000"/>
              <w:bottom w:val="single" w:sz="4" w:space="0" w:color="000000"/>
            </w:tcBorders>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sz w:val="16"/>
                <w:szCs w:val="16"/>
                <w:shd w:fill="auto" w:val="clear"/>
              </w:rPr>
              <w:t>18598,65</w:t>
            </w:r>
          </w:p>
        </w:tc>
        <w:tc>
          <w:tcPr>
            <w:tcW w:w="1561" w:type="dxa"/>
            <w:tcBorders>
              <w:left w:val="single" w:sz="4" w:space="0" w:color="000000"/>
              <w:bottom w:val="single" w:sz="4" w:space="0" w:color="000000"/>
            </w:tcBorders>
          </w:tcPr>
          <w:p>
            <w:pPr>
              <w:pStyle w:val="Normal"/>
              <w:widowControl w:val="false"/>
              <w:tabs>
                <w:tab w:val="clear" w:pos="708"/>
                <w:tab w:val="left" w:pos="1853" w:leader="none"/>
              </w:tabs>
              <w:suppressAutoHyphens w:val="true"/>
              <w:bidi w:val="0"/>
              <w:spacing w:lineRule="atLeast" w:line="0" w:before="0" w:after="0"/>
              <w:ind w:left="57" w:right="0" w:hanging="0"/>
              <w:jc w:val="center"/>
              <w:rPr>
                <w:sz w:val="16"/>
                <w:szCs w:val="16"/>
              </w:rPr>
            </w:pPr>
            <w:r>
              <w:rPr>
                <w:rFonts w:cs="Tinos"/>
                <w:b/>
                <w:sz w:val="16"/>
                <w:szCs w:val="16"/>
                <w:shd w:fill="auto" w:val="clear"/>
              </w:rPr>
              <w:t>18598,65</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100</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r>
        <w:trPr>
          <w:trHeight w:val="323" w:hRule="atLeast"/>
        </w:trPr>
        <w:tc>
          <w:tcPr>
            <w:tcW w:w="5465" w:type="dxa"/>
            <w:tcBorders>
              <w:left w:val="single" w:sz="4" w:space="0" w:color="000000"/>
              <w:bottom w:val="single" w:sz="4" w:space="0" w:color="000000"/>
            </w:tcBorders>
          </w:tcPr>
          <w:p>
            <w:pPr>
              <w:pStyle w:val="Normal"/>
              <w:widowControl w:val="false"/>
              <w:suppressAutoHyphens w:val="true"/>
              <w:spacing w:lineRule="auto" w:line="240" w:before="0" w:after="0"/>
              <w:jc w:val="both"/>
              <w:rPr>
                <w:sz w:val="16"/>
                <w:szCs w:val="16"/>
              </w:rPr>
            </w:pPr>
            <w:r>
              <w:rPr>
                <w:rFonts w:eastAsia="" w:cs="Times New Roman"/>
                <w:kern w:val="0"/>
                <w:sz w:val="16"/>
                <w:szCs w:val="16"/>
                <w:lang w:val="ru-RU" w:eastAsia="en-US" w:bidi="ar-SA"/>
              </w:rPr>
              <w:t>Структурный элемент муниципальной программы «</w:t>
            </w:r>
            <w:r>
              <w:rPr>
                <w:rFonts w:eastAsia="" w:cs="Tinos"/>
                <w:b/>
                <w:bCs/>
                <w:i w:val="false"/>
                <w:iCs w:val="false"/>
                <w:caps w:val="false"/>
                <w:smallCaps w:val="false"/>
                <w:color w:val="000000"/>
                <w:spacing w:val="0"/>
                <w:kern w:val="0"/>
                <w:sz w:val="16"/>
                <w:szCs w:val="16"/>
                <w:shd w:fill="auto" w:val="clear"/>
                <w:lang w:val="ru-RU" w:eastAsia="en-US" w:bidi="ar-SA"/>
              </w:rPr>
              <w:t>Комплекс процессных мероприятий «Создание условий для обеспечения населения качественными услугами жилищно-коммунального хозяйства</w:t>
            </w:r>
            <w:r>
              <w:rPr>
                <w:rFonts w:eastAsia="" w:cs="Times New Roman"/>
                <w:kern w:val="0"/>
                <w:sz w:val="16"/>
                <w:szCs w:val="16"/>
                <w:lang w:val="ru-RU" w:eastAsia="en-US" w:bidi="ar-SA"/>
              </w:rPr>
              <w:t>»</w:t>
            </w:r>
          </w:p>
        </w:tc>
        <w:tc>
          <w:tcPr>
            <w:tcW w:w="184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842"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561"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99,9</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r>
        <w:trPr>
          <w:trHeight w:val="323" w:hRule="atLeast"/>
        </w:trPr>
        <w:tc>
          <w:tcPr>
            <w:tcW w:w="5465" w:type="dxa"/>
            <w:tcBorders>
              <w:left w:val="single" w:sz="4" w:space="0" w:color="000000"/>
              <w:bottom w:val="single" w:sz="4" w:space="0" w:color="000000"/>
            </w:tcBorders>
          </w:tcPr>
          <w:p>
            <w:pPr>
              <w:pStyle w:val="Normal"/>
              <w:widowControl w:val="false"/>
              <w:suppressAutoHyphens w:val="true"/>
              <w:spacing w:lineRule="auto" w:line="240" w:before="0" w:after="0"/>
              <w:jc w:val="both"/>
              <w:rPr>
                <w:sz w:val="16"/>
                <w:szCs w:val="16"/>
              </w:rPr>
            </w:pPr>
            <w:r>
              <w:rPr>
                <w:rFonts w:eastAsia="" w:cs="Times New Roman"/>
                <w:kern w:val="0"/>
                <w:sz w:val="16"/>
                <w:szCs w:val="16"/>
                <w:lang w:val="ru-RU" w:eastAsia="en-US" w:bidi="ar-SA"/>
              </w:rPr>
              <w:t>Структурный элемент муниципальной программы «</w:t>
            </w:r>
            <w:r>
              <w:rPr>
                <w:rFonts w:eastAsia="" w:cs="Times New Roman"/>
                <w:b/>
                <w:bCs/>
                <w:i w:val="false"/>
                <w:iCs w:val="false"/>
                <w:kern w:val="0"/>
                <w:sz w:val="16"/>
                <w:szCs w:val="16"/>
                <w:shd w:fill="auto" w:val="clear"/>
                <w:lang w:val="ru-RU" w:eastAsia="en-US" w:bidi="ar-SA"/>
              </w:rPr>
              <w:t>Региональный проект «Формирование комфортной городской среды»</w:t>
            </w:r>
          </w:p>
        </w:tc>
        <w:tc>
          <w:tcPr>
            <w:tcW w:w="1843" w:type="dxa"/>
            <w:tcBorders>
              <w:left w:val="single" w:sz="4" w:space="0" w:color="000000"/>
              <w:bottom w:val="single" w:sz="4" w:space="0" w:color="000000"/>
            </w:tcBorders>
          </w:tcPr>
          <w:p>
            <w:pPr>
              <w:pStyle w:val="Normal"/>
              <w:widowControl w:val="false"/>
              <w:suppressAutoHyphens w:val="true"/>
              <w:bidi w:val="0"/>
              <w:spacing w:lineRule="auto" w:line="240" w:before="0" w:after="0"/>
              <w:ind w:left="0" w:right="0" w:hanging="0"/>
              <w:contextualSpacing/>
              <w:jc w:val="center"/>
              <w:rPr>
                <w:sz w:val="16"/>
                <w:szCs w:val="16"/>
              </w:rPr>
            </w:pPr>
            <w:r>
              <w:rPr>
                <w:b/>
                <w:sz w:val="16"/>
                <w:szCs w:val="16"/>
                <w:shd w:fill="auto" w:val="clear"/>
              </w:rPr>
              <w:t>109641,600</w:t>
            </w:r>
          </w:p>
        </w:tc>
        <w:tc>
          <w:tcPr>
            <w:tcW w:w="1842"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107941,36</w:t>
            </w:r>
          </w:p>
        </w:tc>
        <w:tc>
          <w:tcPr>
            <w:tcW w:w="1561"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107941,36</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100</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r>
        <w:trPr>
          <w:trHeight w:val="323" w:hRule="atLeast"/>
        </w:trPr>
        <w:tc>
          <w:tcPr>
            <w:tcW w:w="5465" w:type="dxa"/>
            <w:tcBorders>
              <w:left w:val="single" w:sz="4" w:space="0" w:color="000000"/>
              <w:bottom w:val="single" w:sz="4" w:space="0" w:color="000000"/>
            </w:tcBorders>
          </w:tcPr>
          <w:p>
            <w:pPr>
              <w:pStyle w:val="Normal"/>
              <w:widowControl w:val="false"/>
              <w:suppressAutoHyphens w:val="true"/>
              <w:spacing w:lineRule="auto" w:line="240" w:before="0" w:after="0"/>
              <w:jc w:val="both"/>
              <w:rPr>
                <w:sz w:val="16"/>
                <w:szCs w:val="16"/>
              </w:rPr>
            </w:pPr>
            <w:r>
              <w:rPr>
                <w:rFonts w:eastAsia="" w:cs="Times New Roman"/>
                <w:kern w:val="0"/>
                <w:sz w:val="16"/>
                <w:szCs w:val="16"/>
                <w:lang w:val="ru-RU" w:eastAsia="en-US" w:bidi="ar-SA"/>
              </w:rPr>
              <w:t>Структурный элемент муниципальной программы «</w:t>
            </w:r>
            <w:r>
              <w:rPr>
                <w:rFonts w:eastAsia="Times New Roman" w:cs="Times New Roman"/>
                <w:b/>
                <w:bCs/>
                <w:i w:val="false"/>
                <w:strike w:val="false"/>
                <w:dstrike w:val="false"/>
                <w:outline w:val="false"/>
                <w:shadow w:val="false"/>
                <w:color w:val="000000"/>
                <w:kern w:val="0"/>
                <w:sz w:val="16"/>
                <w:szCs w:val="16"/>
                <w:u w:val="none"/>
                <w:shd w:fill="auto" w:val="clear"/>
                <w:em w:val="none"/>
                <w:lang w:val="ru-RU" w:eastAsia="en-US" w:bidi="ar-SA"/>
              </w:rPr>
              <w:t>Реализация программ формирования современной городской среды</w:t>
            </w:r>
            <w:r>
              <w:rPr>
                <w:rFonts w:eastAsia="" w:cs="Times New Roman"/>
                <w:kern w:val="0"/>
                <w:sz w:val="16"/>
                <w:szCs w:val="16"/>
                <w:lang w:val="ru-RU" w:eastAsia="en-US" w:bidi="ar-SA"/>
              </w:rPr>
              <w:t>»</w:t>
            </w:r>
          </w:p>
        </w:tc>
        <w:tc>
          <w:tcPr>
            <w:tcW w:w="1843" w:type="dxa"/>
            <w:tcBorders>
              <w:left w:val="single" w:sz="4" w:space="0" w:color="000000"/>
              <w:bottom w:val="single" w:sz="4" w:space="0" w:color="000000"/>
            </w:tcBorders>
          </w:tcPr>
          <w:p>
            <w:pPr>
              <w:pStyle w:val="Normal"/>
              <w:widowControl w:val="false"/>
              <w:suppressAutoHyphens w:val="true"/>
              <w:bidi w:val="0"/>
              <w:spacing w:lineRule="auto" w:line="240" w:before="0" w:after="0"/>
              <w:ind w:left="0" w:right="0" w:hanging="0"/>
              <w:contextualSpacing/>
              <w:jc w:val="center"/>
              <w:rPr>
                <w:sz w:val="16"/>
                <w:szCs w:val="16"/>
              </w:rPr>
            </w:pPr>
            <w:r>
              <w:rPr>
                <w:b/>
                <w:sz w:val="16"/>
                <w:szCs w:val="16"/>
                <w:shd w:fill="auto" w:val="clear"/>
              </w:rPr>
              <w:t>31542,700</w:t>
            </w:r>
          </w:p>
        </w:tc>
        <w:tc>
          <w:tcPr>
            <w:tcW w:w="1842"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31542,553</w:t>
            </w:r>
          </w:p>
        </w:tc>
        <w:tc>
          <w:tcPr>
            <w:tcW w:w="1561"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31542,553</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100</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r>
        <w:trPr>
          <w:trHeight w:val="323" w:hRule="atLeast"/>
        </w:trPr>
        <w:tc>
          <w:tcPr>
            <w:tcW w:w="5465" w:type="dxa"/>
            <w:tcBorders>
              <w:left w:val="single" w:sz="4" w:space="0" w:color="000000"/>
              <w:bottom w:val="single" w:sz="4" w:space="0" w:color="000000"/>
            </w:tcBorders>
          </w:tcPr>
          <w:p>
            <w:pPr>
              <w:pStyle w:val="Normal"/>
              <w:widowControl w:val="false"/>
              <w:suppressAutoHyphens w:val="true"/>
              <w:spacing w:lineRule="auto" w:line="240" w:before="0" w:after="0"/>
              <w:jc w:val="both"/>
              <w:rPr>
                <w:sz w:val="16"/>
                <w:szCs w:val="16"/>
              </w:rPr>
            </w:pPr>
            <w:r>
              <w:rPr>
                <w:rFonts w:eastAsia="" w:cs="Times New Roman"/>
                <w:kern w:val="0"/>
                <w:sz w:val="16"/>
                <w:szCs w:val="16"/>
                <w:lang w:val="ru-RU" w:eastAsia="en-US" w:bidi="ar-SA"/>
              </w:rPr>
              <w:t>Структурный элемент муниципальной программы «</w:t>
            </w:r>
            <w:r>
              <w:rPr>
                <w:rFonts w:eastAsia="" w:cs="Times New Roman"/>
                <w:b/>
                <w:bCs/>
                <w:i w:val="false"/>
                <w:strike w:val="false"/>
                <w:dstrike w:val="false"/>
                <w:outline w:val="false"/>
                <w:shadow w:val="false"/>
                <w:color w:val="000000"/>
                <w:kern w:val="0"/>
                <w:sz w:val="16"/>
                <w:szCs w:val="16"/>
                <w:u w:val="none"/>
                <w:shd w:fill="auto" w:val="clear"/>
                <w:em w:val="none"/>
                <w:lang w:val="ru-RU" w:eastAsia="en-US" w:bidi="ar-SA"/>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r>
              <w:rPr>
                <w:rFonts w:eastAsia="" w:cs="Times New Roman"/>
                <w:b/>
                <w:bCs/>
                <w:i w:val="false"/>
                <w:iCs w:val="false"/>
                <w:kern w:val="0"/>
                <w:sz w:val="16"/>
                <w:szCs w:val="16"/>
                <w:shd w:fill="auto" w:val="clear"/>
                <w:lang w:val="ru-RU" w:eastAsia="en-US" w:bidi="ar-SA"/>
              </w:rPr>
              <w:t>»</w:t>
            </w:r>
          </w:p>
        </w:tc>
        <w:tc>
          <w:tcPr>
            <w:tcW w:w="1843" w:type="dxa"/>
            <w:tcBorders>
              <w:left w:val="single" w:sz="4" w:space="0" w:color="000000"/>
              <w:bottom w:val="single" w:sz="4" w:space="0" w:color="000000"/>
            </w:tcBorders>
          </w:tcPr>
          <w:p>
            <w:pPr>
              <w:pStyle w:val="Normal"/>
              <w:widowControl w:val="false"/>
              <w:suppressAutoHyphens w:val="true"/>
              <w:bidi w:val="0"/>
              <w:spacing w:lineRule="auto" w:line="240" w:before="0" w:after="0"/>
              <w:ind w:left="0" w:right="0" w:hanging="0"/>
              <w:contextualSpacing/>
              <w:jc w:val="center"/>
              <w:rPr>
                <w:sz w:val="16"/>
                <w:szCs w:val="16"/>
              </w:rPr>
            </w:pPr>
            <w:r>
              <w:rPr>
                <w:b/>
                <w:sz w:val="16"/>
                <w:szCs w:val="16"/>
                <w:shd w:fill="auto" w:val="clear"/>
              </w:rPr>
              <w:t>78098,900</w:t>
            </w:r>
          </w:p>
        </w:tc>
        <w:tc>
          <w:tcPr>
            <w:tcW w:w="1842"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76398,807</w:t>
            </w:r>
          </w:p>
        </w:tc>
        <w:tc>
          <w:tcPr>
            <w:tcW w:w="1561"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76398,807</w:t>
            </w:r>
          </w:p>
        </w:tc>
        <w:tc>
          <w:tcPr>
            <w:tcW w:w="155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100</w:t>
            </w:r>
          </w:p>
        </w:tc>
        <w:tc>
          <w:tcPr>
            <w:tcW w:w="2866"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bl>
    <w:p>
      <w:pPr>
        <w:pStyle w:val="ConsPlusNormal"/>
        <w:jc w:val="center"/>
        <w:rPr>
          <w:rFonts w:ascii="Times New Roman" w:hAnsi="Times New Roman" w:cs="Times New Roman"/>
          <w:bCs/>
          <w:color w:val="000000"/>
          <w:sz w:val="20"/>
        </w:rPr>
      </w:pPr>
      <w:r>
        <w:rPr>
          <w:rFonts w:cs="Times New Roman" w:ascii="Times New Roman" w:hAnsi="Times New Roman"/>
          <w:bCs/>
          <w:color w:val="000000"/>
          <w:sz w:val="20"/>
        </w:rPr>
      </w:r>
    </w:p>
    <w:p>
      <w:pPr>
        <w:pStyle w:val="ConsPlusNormal"/>
        <w:jc w:val="center"/>
        <w:rPr>
          <w:rFonts w:ascii="Times New Roman" w:hAnsi="Times New Roman" w:cs="Times New Roman"/>
          <w:bCs/>
          <w:color w:val="000000"/>
          <w:sz w:val="24"/>
          <w:szCs w:val="24"/>
        </w:rPr>
      </w:pPr>
      <w:r>
        <w:rPr>
          <w:rFonts w:cs="Times New Roman" w:ascii="Times New Roman" w:hAnsi="Times New Roman"/>
          <w:bCs/>
          <w:color w:val="000000"/>
          <w:sz w:val="24"/>
          <w:szCs w:val="24"/>
        </w:rPr>
        <w:t>4. Информация о рисках муниципальной программы</w:t>
      </w:r>
      <w:r>
        <w:rPr>
          <w:rStyle w:val="Style18"/>
          <w:rFonts w:ascii="Times New Roman" w:hAnsi="Times New Roman"/>
          <w:bCs/>
          <w:color w:val="000000"/>
          <w:sz w:val="24"/>
          <w:szCs w:val="24"/>
        </w:rPr>
        <w:footnoteReference w:id="11"/>
      </w:r>
      <w:r>
        <w:rPr>
          <w:rFonts w:ascii="Times New Roman" w:hAnsi="Times New Roman"/>
          <w:sz w:val="24"/>
          <w:szCs w:val="24"/>
        </w:rPr>
        <w:t>(комплексной программы)</w:t>
      </w:r>
    </w:p>
    <w:p>
      <w:pPr>
        <w:pStyle w:val="ConsPlusNormal"/>
        <w:jc w:val="center"/>
        <w:rPr>
          <w:rFonts w:ascii="Times New Roman" w:hAnsi="Times New Roman" w:cs="Times New Roman"/>
          <w:bCs/>
          <w:color w:val="000000"/>
          <w:sz w:val="20"/>
        </w:rPr>
      </w:pPr>
      <w:r>
        <w:rPr>
          <w:rFonts w:cs="Times New Roman" w:ascii="Times New Roman" w:hAnsi="Times New Roman"/>
          <w:bCs/>
          <w:color w:val="000000"/>
          <w:sz w:val="20"/>
        </w:rPr>
      </w:r>
    </w:p>
    <w:tbl>
      <w:tblPr>
        <w:tblStyle w:val="aa"/>
        <w:tblW w:w="15360" w:type="dxa"/>
        <w:jc w:val="left"/>
        <w:tblInd w:w="0" w:type="dxa"/>
        <w:tblLayout w:type="fixed"/>
        <w:tblCellMar>
          <w:top w:w="55" w:type="dxa"/>
          <w:left w:w="108" w:type="dxa"/>
          <w:bottom w:w="55" w:type="dxa"/>
          <w:right w:w="108" w:type="dxa"/>
        </w:tblCellMar>
        <w:tblLook w:noVBand="1" w:val="04a0" w:noHBand="0" w:lastColumn="0" w:firstColumn="1" w:lastRow="0" w:firstRow="1"/>
      </w:tblPr>
      <w:tblGrid>
        <w:gridCol w:w="703"/>
        <w:gridCol w:w="3218"/>
        <w:gridCol w:w="1963"/>
        <w:gridCol w:w="1963"/>
        <w:gridCol w:w="1438"/>
        <w:gridCol w:w="2486"/>
        <w:gridCol w:w="1728"/>
        <w:gridCol w:w="1859"/>
      </w:tblGrid>
      <w:tr>
        <w:trPr/>
        <w:tc>
          <w:tcPr>
            <w:tcW w:w="703"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20"/>
              </w:rPr>
            </w:pPr>
            <w:r>
              <w:rPr>
                <w:rFonts w:eastAsia="" w:ascii="Times New Roman" w:hAnsi="Times New Roman"/>
                <w:b/>
                <w:kern w:val="0"/>
                <w:sz w:val="16"/>
                <w:szCs w:val="16"/>
                <w:lang w:val="ru-RU" w:eastAsia="en-US" w:bidi="ar-SA"/>
              </w:rPr>
              <w:t xml:space="preserve">№ </w:t>
            </w:r>
            <w:r>
              <w:rPr>
                <w:rFonts w:eastAsia="" w:ascii="Times New Roman" w:hAnsi="Times New Roman"/>
                <w:b/>
                <w:kern w:val="0"/>
                <w:sz w:val="16"/>
                <w:szCs w:val="16"/>
                <w:lang w:val="ru-RU" w:eastAsia="en-US" w:bidi="ar-SA"/>
              </w:rPr>
              <w:t>п/п</w:t>
            </w:r>
          </w:p>
        </w:tc>
        <w:tc>
          <w:tcPr>
            <w:tcW w:w="3218"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Наименование показателя</w:t>
            </w:r>
          </w:p>
        </w:tc>
        <w:tc>
          <w:tcPr>
            <w:tcW w:w="1963"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Описание риска</w:t>
            </w:r>
          </w:p>
        </w:tc>
        <w:tc>
          <w:tcPr>
            <w:tcW w:w="1963"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Оценка возможных последствий риска</w:t>
            </w:r>
          </w:p>
        </w:tc>
        <w:tc>
          <w:tcPr>
            <w:tcW w:w="1438"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Уровень риска</w:t>
            </w:r>
          </w:p>
        </w:tc>
        <w:tc>
          <w:tcPr>
            <w:tcW w:w="2486"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Планируемые меры реагирования</w:t>
            </w:r>
          </w:p>
        </w:tc>
        <w:tc>
          <w:tcPr>
            <w:tcW w:w="1728"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Срок выполнения меры реагирования</w:t>
            </w:r>
          </w:p>
        </w:tc>
        <w:tc>
          <w:tcPr>
            <w:tcW w:w="1859" w:type="dxa"/>
            <w:tcBorders>
              <w:top w:val="single" w:sz="4" w:space="0" w:color="000000"/>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Ответственный за принятие мер реагирования (ФИО, должность, организация)</w:t>
            </w:r>
          </w:p>
        </w:tc>
      </w:tr>
      <w:tr>
        <w:trPr/>
        <w:tc>
          <w:tcPr>
            <w:tcW w:w="703"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20"/>
              </w:rPr>
            </w:pPr>
            <w:r>
              <w:rPr>
                <w:rFonts w:cs="Times New Roman" w:ascii="Times New Roman" w:hAnsi="Times New Roman"/>
                <w:bCs/>
                <w:color w:val="000000"/>
                <w:sz w:val="20"/>
              </w:rPr>
              <w:t>1</w:t>
            </w:r>
          </w:p>
        </w:tc>
        <w:tc>
          <w:tcPr>
            <w:tcW w:w="3218" w:type="dxa"/>
            <w:tcBorders>
              <w:left w:val="single" w:sz="4" w:space="0" w:color="000000"/>
              <w:bottom w:val="single" w:sz="4" w:space="0" w:color="000000"/>
            </w:tcBorders>
          </w:tcPr>
          <w:p>
            <w:pPr>
              <w:pStyle w:val="Normal"/>
              <w:widowControl w:val="false"/>
              <w:suppressAutoHyphens w:val="true"/>
              <w:spacing w:lineRule="auto" w:line="240" w:before="0" w:after="0"/>
              <w:jc w:val="both"/>
              <w:rPr>
                <w:b w:val="false"/>
                <w:bCs w:val="false"/>
                <w:sz w:val="18"/>
                <w:szCs w:val="18"/>
              </w:rPr>
            </w:pPr>
            <w:r>
              <w:rPr>
                <w:rFonts w:eastAsia="" w:cs="Times New Roman"/>
                <w:b w:val="false"/>
                <w:bCs w:val="false"/>
                <w:i w:val="false"/>
                <w:iCs w:val="false"/>
                <w:kern w:val="0"/>
                <w:sz w:val="18"/>
                <w:szCs w:val="18"/>
                <w:shd w:fill="auto" w:val="clear"/>
                <w:lang w:val="ru-RU" w:eastAsia="en-US" w:bidi="ar-SA"/>
              </w:rPr>
              <w:t>Региональный проект «Формирование комфортной городской среды</w:t>
            </w:r>
          </w:p>
        </w:tc>
        <w:tc>
          <w:tcPr>
            <w:tcW w:w="1963" w:type="dxa"/>
            <w:tcBorders>
              <w:left w:val="single" w:sz="4" w:space="0" w:color="000000"/>
              <w:bottom w:val="single" w:sz="4" w:space="0" w:color="000000"/>
            </w:tcBorders>
          </w:tcPr>
          <w:p>
            <w:pPr>
              <w:pStyle w:val="Normal"/>
              <w:widowControl w:val="false"/>
              <w:spacing w:lineRule="auto" w:line="240" w:before="0" w:after="0"/>
              <w:jc w:val="both"/>
              <w:rPr>
                <w:sz w:val="18"/>
                <w:szCs w:val="18"/>
              </w:rPr>
            </w:pPr>
            <w:r>
              <w:rPr>
                <w:sz w:val="18"/>
                <w:szCs w:val="18"/>
              </w:rPr>
              <w:t>Административные риски, связанные с невыполнением или ненадлежащим выполнением обязательств поставщиками и подрядчиками работ по реализации мероприятий муниципальной программы</w:t>
            </w:r>
          </w:p>
        </w:tc>
        <w:tc>
          <w:tcPr>
            <w:tcW w:w="1963"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20"/>
              </w:rPr>
            </w:pPr>
            <w:r>
              <w:rPr>
                <w:rFonts w:cs="Times New Roman" w:ascii="Times New Roman" w:hAnsi="Times New Roman"/>
                <w:bCs/>
                <w:color w:val="000000"/>
                <w:sz w:val="20"/>
              </w:rPr>
              <w:t>Увеличение сроков выполнения программы</w:t>
            </w:r>
          </w:p>
        </w:tc>
        <w:tc>
          <w:tcPr>
            <w:tcW w:w="1438"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20"/>
              </w:rPr>
            </w:pPr>
            <w:r>
              <w:rPr>
                <w:rFonts w:cs="Times New Roman" w:ascii="Times New Roman" w:hAnsi="Times New Roman"/>
                <w:bCs/>
                <w:color w:val="000000"/>
                <w:sz w:val="20"/>
              </w:rPr>
              <w:t>Низкий</w:t>
            </w:r>
          </w:p>
        </w:tc>
        <w:tc>
          <w:tcPr>
            <w:tcW w:w="2486" w:type="dxa"/>
            <w:tcBorders>
              <w:left w:val="single" w:sz="4" w:space="0" w:color="000000"/>
              <w:bottom w:val="single" w:sz="4" w:space="0" w:color="000000"/>
            </w:tcBorders>
          </w:tcPr>
          <w:p>
            <w:pPr>
              <w:pStyle w:val="Normal"/>
              <w:widowControl w:val="false"/>
              <w:spacing w:lineRule="auto" w:line="240" w:before="0" w:after="0"/>
              <w:rPr>
                <w:sz w:val="18"/>
                <w:szCs w:val="18"/>
              </w:rPr>
            </w:pPr>
            <w:r>
              <w:rPr>
                <w:rFonts w:cs="Times New Roman"/>
                <w:sz w:val="18"/>
                <w:szCs w:val="18"/>
              </w:rPr>
              <w:t>В целях минимизации (снижения) административных рисков планируется:</w:t>
            </w:r>
          </w:p>
          <w:p>
            <w:pPr>
              <w:pStyle w:val="Normal"/>
              <w:widowControl w:val="false"/>
              <w:spacing w:lineRule="auto" w:line="240" w:before="0" w:after="0"/>
              <w:rPr>
                <w:sz w:val="18"/>
                <w:szCs w:val="18"/>
              </w:rPr>
            </w:pPr>
            <w:r>
              <w:rPr>
                <w:rFonts w:cs="Times New Roman"/>
                <w:sz w:val="18"/>
                <w:szCs w:val="18"/>
              </w:rPr>
              <w:t>а) публикация отчетов о ходе реализации муниципальной программы;</w:t>
            </w:r>
          </w:p>
          <w:p>
            <w:pPr>
              <w:pStyle w:val="Normal"/>
              <w:widowControl w:val="false"/>
              <w:spacing w:lineRule="auto" w:line="240" w:before="0" w:after="0"/>
              <w:rPr>
                <w:sz w:val="18"/>
                <w:szCs w:val="18"/>
              </w:rPr>
            </w:pPr>
            <w:r>
              <w:rPr>
                <w:rFonts w:cs="Times New Roman"/>
                <w:sz w:val="18"/>
                <w:szCs w:val="18"/>
              </w:rPr>
              <w:t>б) мониторинг реализации муниципальной программы;</w:t>
            </w:r>
          </w:p>
          <w:p>
            <w:pPr>
              <w:pStyle w:val="Normal"/>
              <w:widowControl w:val="false"/>
              <w:spacing w:lineRule="auto" w:line="240" w:before="0" w:after="0"/>
              <w:rPr>
                <w:sz w:val="18"/>
                <w:szCs w:val="18"/>
              </w:rPr>
            </w:pPr>
            <w:r>
              <w:rPr>
                <w:sz w:val="18"/>
                <w:szCs w:val="18"/>
              </w:rPr>
              <w:t>в) своевременная корректировка программных мероприятий муниципальной программы</w:t>
            </w:r>
          </w:p>
        </w:tc>
        <w:tc>
          <w:tcPr>
            <w:tcW w:w="1728"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20"/>
              </w:rPr>
            </w:pPr>
            <w:r>
              <w:rPr>
                <w:rFonts w:cs="Times New Roman" w:ascii="Times New Roman" w:hAnsi="Times New Roman"/>
                <w:bCs/>
                <w:color w:val="000000"/>
                <w:sz w:val="20"/>
              </w:rPr>
              <w:t>В течении 1-3 дня</w:t>
            </w:r>
          </w:p>
        </w:tc>
        <w:tc>
          <w:tcPr>
            <w:tcW w:w="1859"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20"/>
              </w:rPr>
            </w:pPr>
            <w:r>
              <w:rPr>
                <w:rFonts w:cs="Times New Roman" w:ascii="Times New Roman" w:hAnsi="Times New Roman"/>
                <w:bCs/>
                <w:color w:val="000000"/>
                <w:sz w:val="20"/>
              </w:rPr>
              <w:t>Шевцова А.Е., начальник отдела ЖКХ, транспорта и связи управления ЖКХ и архитектуры Администрации Красногвардейского муниципального округа</w:t>
            </w:r>
          </w:p>
        </w:tc>
      </w:tr>
    </w:tbl>
    <w:p>
      <w:pPr>
        <w:pStyle w:val="ConsPlusNormal"/>
        <w:ind w:firstLine="539"/>
        <w:jc w:val="center"/>
        <w:rPr>
          <w:rFonts w:ascii="Times New Roman" w:hAnsi="Times New Roman" w:cs="Times New Roman"/>
          <w:bCs/>
          <w:color w:val="000000"/>
          <w:sz w:val="20"/>
        </w:rPr>
      </w:pPr>
      <w:r>
        <w:rPr>
          <w:rFonts w:cs="Times New Roman" w:ascii="Times New Roman" w:hAnsi="Times New Roman"/>
          <w:bCs/>
          <w:color w:val="000000"/>
          <w:sz w:val="20"/>
        </w:rPr>
      </w:r>
    </w:p>
    <w:p>
      <w:pPr>
        <w:pStyle w:val="ConsPlusNormal"/>
        <w:jc w:val="center"/>
        <w:rPr>
          <w:rFonts w:ascii="Times New Roman" w:hAnsi="Times New Roman" w:cs="Times New Roman"/>
          <w:bCs/>
          <w:color w:val="000000"/>
          <w:sz w:val="24"/>
          <w:szCs w:val="24"/>
        </w:rPr>
      </w:pPr>
      <w:r>
        <w:rPr>
          <w:rFonts w:cs="Times New Roman" w:ascii="Times New Roman" w:hAnsi="Times New Roman"/>
          <w:bCs/>
          <w:color w:val="000000"/>
          <w:sz w:val="24"/>
          <w:szCs w:val="24"/>
        </w:rPr>
        <w:t>5. Дополнительная информация</w:t>
      </w:r>
      <w:r>
        <w:rPr>
          <w:rFonts w:cs="Times New Roman" w:ascii="Times New Roman" w:hAnsi="Times New Roman"/>
          <w:bCs/>
          <w:color w:val="000000"/>
          <w:sz w:val="24"/>
          <w:szCs w:val="24"/>
          <w:vertAlign w:val="superscript"/>
        </w:rPr>
        <w:t>16</w:t>
      </w:r>
    </w:p>
    <w:p>
      <w:pPr>
        <w:pStyle w:val="ConsPlusNormal"/>
        <w:jc w:val="center"/>
        <w:rPr>
          <w:rFonts w:ascii="Times New Roman" w:hAnsi="Times New Roman" w:cs="Times New Roman"/>
          <w:bCs/>
          <w:color w:val="000000"/>
          <w:sz w:val="20"/>
        </w:rPr>
      </w:pPr>
      <w:r>
        <w:rPr>
          <w:rFonts w:cs="Times New Roman" w:ascii="Times New Roman" w:hAnsi="Times New Roman"/>
          <w:bCs/>
          <w:color w:val="000000"/>
          <w:sz w:val="20"/>
        </w:rPr>
      </w:r>
    </w:p>
    <w:tbl>
      <w:tblPr>
        <w:tblStyle w:val="aa"/>
        <w:tblW w:w="1548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5480"/>
      </w:tblGrid>
      <w:tr>
        <w:trPr>
          <w:trHeight w:val="775" w:hRule="atLeast"/>
        </w:trPr>
        <w:tc>
          <w:tcPr>
            <w:tcW w:w="15480" w:type="dxa"/>
            <w:tcBorders/>
          </w:tcPr>
          <w:p>
            <w:pPr>
              <w:pStyle w:val="ConsPlusNormal"/>
              <w:widowControl w:val="false"/>
              <w:suppressAutoHyphens w:val="true"/>
              <w:spacing w:before="220" w:after="0"/>
              <w:jc w:val="center"/>
              <w:rPr>
                <w:rFonts w:ascii="Times New Roman" w:hAnsi="Times New Roman" w:cs="Times New Roman"/>
                <w:bCs/>
                <w:color w:val="000000"/>
                <w:sz w:val="20"/>
              </w:rPr>
            </w:pPr>
            <w:r>
              <w:rPr>
                <w:rFonts w:eastAsia="" w:cs="Times New Roman" w:ascii="Times New Roman" w:hAnsi="Times New Roman"/>
                <w:b/>
                <w:bCs/>
                <w:color w:val="000000"/>
                <w:kern w:val="0"/>
                <w:sz w:val="16"/>
                <w:szCs w:val="16"/>
                <w:lang w:val="ru-RU" w:eastAsia="en-US" w:bidi="ar-SA"/>
              </w:rPr>
              <w:t>Дополнительная информация о ходе реализации муниципальной программы</w:t>
            </w:r>
            <w:r>
              <w:rPr>
                <w:rStyle w:val="Style18"/>
                <w:rFonts w:eastAsia="" w:ascii="Times New Roman" w:hAnsi="Times New Roman"/>
                <w:bCs/>
                <w:color w:val="000000"/>
                <w:kern w:val="0"/>
                <w:sz w:val="20"/>
                <w:lang w:val="ru-RU" w:eastAsia="en-US" w:bidi="ar-SA"/>
              </w:rPr>
              <w:footnoteReference w:id="12"/>
            </w:r>
          </w:p>
        </w:tc>
      </w:tr>
      <w:tr>
        <w:trPr>
          <w:trHeight w:val="565" w:hRule="atLeast"/>
        </w:trPr>
        <w:tc>
          <w:tcPr>
            <w:tcW w:w="15480" w:type="dxa"/>
            <w:tcBorders/>
          </w:tcPr>
          <w:p>
            <w:pPr>
              <w:pStyle w:val="ConsPlusNormal"/>
              <w:widowControl w:val="false"/>
              <w:suppressAutoHyphens w:val="true"/>
              <w:spacing w:before="220" w:after="0"/>
              <w:jc w:val="center"/>
              <w:rPr>
                <w:rFonts w:ascii="Times New Roman" w:hAnsi="Times New Roman" w:cs="Times New Roman"/>
                <w:bCs/>
                <w:color w:val="000000"/>
                <w:sz w:val="20"/>
              </w:rPr>
            </w:pPr>
            <w:r>
              <w:rPr>
                <w:rFonts w:cs="Times New Roman" w:ascii="Times New Roman" w:hAnsi="Times New Roman"/>
                <w:bCs/>
                <w:color w:val="000000"/>
                <w:sz w:val="20"/>
              </w:rPr>
              <w:t>В течении 2025 года в муниципальную программу в связи с корректировками бюджета были внесены изменения:</w:t>
            </w:r>
          </w:p>
          <w:p>
            <w:pPr>
              <w:pStyle w:val="ConsPlusNormal"/>
              <w:widowControl w:val="false"/>
              <w:suppressAutoHyphens w:val="true"/>
              <w:spacing w:before="221" w:after="0"/>
              <w:contextualSpacing/>
              <w:jc w:val="center"/>
              <w:rPr>
                <w:rFonts w:ascii="Times New Roman" w:hAnsi="Times New Roman" w:cs="Times New Roman"/>
                <w:bCs/>
                <w:color w:val="000000"/>
                <w:sz w:val="20"/>
              </w:rPr>
            </w:pPr>
            <w:r>
              <w:rPr>
                <w:rFonts w:cs="Times New Roman" w:ascii="Times New Roman" w:hAnsi="Times New Roman"/>
                <w:bCs/>
                <w:color w:val="000000"/>
                <w:sz w:val="20"/>
              </w:rPr>
              <w:t>1. Постановление администрации Красногвардейского района  № 37 от 01 апреля 2025 года;</w:t>
            </w:r>
          </w:p>
          <w:p>
            <w:pPr>
              <w:pStyle w:val="ConsPlusNormal"/>
              <w:widowControl w:val="false"/>
              <w:suppressAutoHyphens w:val="true"/>
              <w:spacing w:before="221" w:after="0"/>
              <w:contextualSpacing/>
              <w:jc w:val="center"/>
              <w:rPr>
                <w:rFonts w:ascii="Times New Roman" w:hAnsi="Times New Roman" w:cs="Times New Roman"/>
                <w:bCs/>
                <w:color w:val="000000"/>
                <w:sz w:val="20"/>
              </w:rPr>
            </w:pPr>
            <w:r>
              <w:rPr>
                <w:rFonts w:cs="Times New Roman" w:ascii="Times New Roman" w:hAnsi="Times New Roman"/>
                <w:bCs/>
                <w:color w:val="000000"/>
                <w:sz w:val="20"/>
              </w:rPr>
              <w:t>2. Постановление администрации Красногвардейского района  № 72 от 23 июня 2025 года;</w:t>
            </w:r>
          </w:p>
          <w:p>
            <w:pPr>
              <w:pStyle w:val="ConsPlusNormal"/>
              <w:widowControl w:val="false"/>
              <w:suppressAutoHyphens w:val="true"/>
              <w:spacing w:before="221" w:after="0"/>
              <w:contextualSpacing/>
              <w:jc w:val="center"/>
              <w:rPr>
                <w:rFonts w:ascii="Times New Roman" w:hAnsi="Times New Roman" w:cs="Times New Roman"/>
                <w:bCs/>
                <w:color w:val="000000"/>
                <w:sz w:val="20"/>
              </w:rPr>
            </w:pPr>
            <w:r>
              <w:rPr>
                <w:rFonts w:cs="Times New Roman" w:ascii="Times New Roman" w:hAnsi="Times New Roman"/>
                <w:bCs/>
                <w:color w:val="000000"/>
                <w:sz w:val="20"/>
              </w:rPr>
              <w:t>3. Постановление администрации Красногвардейского района  № 119 от 21 ноября 2025 года;</w:t>
            </w:r>
          </w:p>
          <w:p>
            <w:pPr>
              <w:pStyle w:val="ConsPlusNormal"/>
              <w:widowControl w:val="false"/>
              <w:suppressAutoHyphens w:val="true"/>
              <w:spacing w:before="221" w:after="0"/>
              <w:contextualSpacing/>
              <w:jc w:val="center"/>
              <w:rPr>
                <w:rFonts w:ascii="Times New Roman" w:hAnsi="Times New Roman" w:cs="Times New Roman"/>
                <w:bCs/>
                <w:color w:val="000000"/>
                <w:sz w:val="20"/>
              </w:rPr>
            </w:pPr>
            <w:r>
              <w:rPr>
                <w:rFonts w:cs="Times New Roman" w:ascii="Times New Roman" w:hAnsi="Times New Roman"/>
                <w:bCs/>
                <w:color w:val="000000"/>
                <w:sz w:val="20"/>
              </w:rPr>
              <w:t>4. Постановление администрации Красногвардейского района  № 132 от 30 декабря 2025 года.</w:t>
            </w:r>
          </w:p>
        </w:tc>
      </w:tr>
    </w:tbl>
    <w:p>
      <w:pPr>
        <w:pStyle w:val="ConsPlusNormal"/>
        <w:numPr>
          <w:ilvl w:val="0"/>
          <w:numId w:val="0"/>
        </w:numPr>
        <w:ind w:left="8505" w:firstLine="709"/>
        <w:jc w:val="center"/>
        <w:outlineLvl w:val="0"/>
        <w:rPr>
          <w:rFonts w:ascii="Times New Roman" w:hAnsi="Times New Roman" w:cs="Times New Roman"/>
          <w:sz w:val="20"/>
        </w:rPr>
      </w:pPr>
      <w:r>
        <w:rPr>
          <w:rFonts w:ascii="Times New Roman" w:hAnsi="Times New Roman"/>
          <w:sz w:val="20"/>
          <w:szCs w:val="20"/>
        </w:rPr>
        <w:drawing>
          <wp:anchor behindDoc="0" distT="0" distB="0" distL="0" distR="0" simplePos="0" locked="0" layoutInCell="0" allowOverlap="1" relativeHeight="3">
            <wp:simplePos x="0" y="0"/>
            <wp:positionH relativeFrom="column">
              <wp:align>center</wp:align>
            </wp:positionH>
            <wp:positionV relativeFrom="paragraph">
              <wp:align>top</wp:align>
            </wp:positionV>
            <wp:extent cx="9717405" cy="672147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4"/>
                    <a:stretch>
                      <a:fillRect/>
                    </a:stretch>
                  </pic:blipFill>
                  <pic:spPr bwMode="auto">
                    <a:xfrm>
                      <a:off x="0" y="0"/>
                      <a:ext cx="9717405" cy="6721475"/>
                    </a:xfrm>
                    <a:prstGeom prst="rect">
                      <a:avLst/>
                    </a:prstGeom>
                  </pic:spPr>
                </pic:pic>
              </a:graphicData>
            </a:graphic>
          </wp:anchor>
        </w:drawing>
      </w:r>
    </w:p>
    <w:p>
      <w:pPr>
        <w:pStyle w:val="ListParagraph"/>
        <w:ind w:left="0" w:right="536" w:hanging="0"/>
        <w:rPr>
          <w:rFonts w:ascii="Times New Roman" w:hAnsi="Times New Roman"/>
          <w:sz w:val="20"/>
          <w:szCs w:val="20"/>
        </w:rPr>
      </w:pPr>
      <w:r>
        <w:rPr>
          <w:sz w:val="20"/>
          <w:szCs w:val="20"/>
        </w:rPr>
      </w:r>
    </w:p>
    <w:p>
      <w:pPr>
        <w:pStyle w:val="Normal"/>
        <w:spacing w:before="0" w:after="160"/>
        <w:jc w:val="center"/>
        <w:rPr>
          <w:rFonts w:ascii="Times New Roman" w:hAnsi="Times New Roman"/>
          <w:bCs/>
          <w:color w:val="000000"/>
          <w:sz w:val="24"/>
          <w:szCs w:val="24"/>
        </w:rPr>
      </w:pPr>
      <w:r>
        <w:rPr>
          <w:bCs/>
          <w:color w:val="000000"/>
          <w:sz w:val="24"/>
          <w:szCs w:val="24"/>
        </w:rPr>
        <w:t>1.Сведения о достижении показателей комплекса процессных мероприятий «</w:t>
      </w:r>
      <w:r>
        <w:rPr>
          <w:rFonts w:eastAsia="" w:cs="Tinos"/>
          <w:b/>
          <w:bCs/>
          <w:i w:val="false"/>
          <w:iCs w:val="false"/>
          <w:caps w:val="false"/>
          <w:smallCaps w:val="false"/>
          <w:color w:val="000000"/>
          <w:spacing w:val="0"/>
          <w:kern w:val="0"/>
          <w:sz w:val="24"/>
          <w:szCs w:val="24"/>
          <w:shd w:fill="auto" w:val="clear"/>
          <w:lang w:val="ru-RU" w:eastAsia="en-US" w:bidi="ar-SA"/>
        </w:rPr>
        <w:t>Создание условий для обеспечения населения качественными услугами жилищно-коммунального хозяйств»</w:t>
      </w:r>
      <w:r>
        <w:rPr>
          <w:rStyle w:val="Style18"/>
          <w:bCs/>
          <w:color w:val="000000"/>
          <w:sz w:val="24"/>
          <w:szCs w:val="24"/>
        </w:rPr>
        <w:footnoteReference w:id="13"/>
      </w:r>
    </w:p>
    <w:tbl>
      <w:tblPr>
        <w:tblStyle w:val="aa"/>
        <w:tblW w:w="15706" w:type="dxa"/>
        <w:jc w:val="center"/>
        <w:tblInd w:w="0" w:type="dxa"/>
        <w:tblLayout w:type="fixed"/>
        <w:tblCellMar>
          <w:top w:w="55" w:type="dxa"/>
          <w:left w:w="108" w:type="dxa"/>
          <w:bottom w:w="55" w:type="dxa"/>
          <w:right w:w="108" w:type="dxa"/>
        </w:tblCellMar>
        <w:tblLook w:noVBand="1" w:val="04a0" w:noHBand="0" w:lastColumn="0" w:firstColumn="1" w:lastRow="0" w:firstRow="1"/>
      </w:tblPr>
      <w:tblGrid>
        <w:gridCol w:w="565"/>
        <w:gridCol w:w="1277"/>
        <w:gridCol w:w="1275"/>
        <w:gridCol w:w="1420"/>
        <w:gridCol w:w="1418"/>
        <w:gridCol w:w="1134"/>
        <w:gridCol w:w="1276"/>
        <w:gridCol w:w="1133"/>
        <w:gridCol w:w="1134"/>
        <w:gridCol w:w="1276"/>
        <w:gridCol w:w="1134"/>
        <w:gridCol w:w="1275"/>
        <w:gridCol w:w="1388"/>
      </w:tblGrid>
      <w:tr>
        <w:trPr>
          <w:tblHeader w:val="true"/>
        </w:trPr>
        <w:tc>
          <w:tcPr>
            <w:tcW w:w="565"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 xml:space="preserve">№ </w:t>
            </w:r>
            <w:r>
              <w:rPr>
                <w:rFonts w:eastAsia="" w:cs="Times New Roman"/>
                <w:b/>
                <w:color w:val="000000"/>
                <w:kern w:val="0"/>
                <w:sz w:val="16"/>
                <w:szCs w:val="16"/>
                <w:lang w:val="ru-RU" w:eastAsia="en-US" w:bidi="ar-SA"/>
              </w:rPr>
              <w:t>п/п</w:t>
            </w:r>
          </w:p>
        </w:tc>
        <w:tc>
          <w:tcPr>
            <w:tcW w:w="1277"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kern w:val="0"/>
                <w:sz w:val="16"/>
                <w:szCs w:val="16"/>
                <w:lang w:val="ru-RU" w:eastAsia="en-US" w:bidi="ar-SA"/>
              </w:rPr>
              <w:t>Статус фактического/ прогнозного значения за отчетный период</w:t>
            </w:r>
          </w:p>
        </w:tc>
        <w:tc>
          <w:tcPr>
            <w:tcW w:w="1275"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Наименование показателя</w:t>
            </w:r>
            <w:r>
              <w:rPr>
                <w:rStyle w:val="Style18"/>
                <w:rFonts w:eastAsia="" w:cs="Times New Roman"/>
                <w:b/>
                <w:color w:val="000000"/>
                <w:kern w:val="0"/>
                <w:sz w:val="16"/>
                <w:szCs w:val="16"/>
                <w:lang w:val="ru-RU" w:eastAsia="en-US" w:bidi="ar-SA"/>
              </w:rPr>
              <w:footnoteReference w:id="14"/>
            </w:r>
          </w:p>
        </w:tc>
        <w:tc>
          <w:tcPr>
            <w:tcW w:w="1420"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Уровень показател</w:t>
            </w:r>
            <w:bookmarkStart w:id="4" w:name="_Ref129366428"/>
            <w:r>
              <w:rPr>
                <w:rFonts w:eastAsia="" w:cs="Times New Roman"/>
                <w:b/>
                <w:color w:val="000000"/>
                <w:kern w:val="0"/>
                <w:sz w:val="16"/>
                <w:szCs w:val="16"/>
                <w:lang w:val="ru-RU" w:eastAsia="en-US" w:bidi="ar-SA"/>
              </w:rPr>
              <w:t>я</w:t>
            </w:r>
            <w:r>
              <w:rPr>
                <w:rStyle w:val="Style18"/>
                <w:rFonts w:eastAsia="" w:cs="Times New Roman"/>
                <w:b/>
                <w:color w:val="000000"/>
                <w:kern w:val="0"/>
                <w:sz w:val="16"/>
                <w:szCs w:val="16"/>
                <w:lang w:val="ru-RU" w:eastAsia="en-US" w:bidi="ar-SA"/>
              </w:rPr>
              <w:footnoteReference w:id="15"/>
            </w:r>
            <w:bookmarkEnd w:id="4"/>
          </w:p>
        </w:tc>
        <w:tc>
          <w:tcPr>
            <w:tcW w:w="1418"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Признак возрастания/ убывания</w:t>
            </w:r>
            <w:r>
              <w:rPr>
                <w:rFonts w:eastAsia="" w:cs="Times New Roman"/>
                <w:b/>
                <w:color w:val="000000"/>
                <w:kern w:val="0"/>
                <w:sz w:val="16"/>
                <w:szCs w:val="16"/>
                <w:vertAlign w:val="superscript"/>
                <w:lang w:val="ru-RU" w:eastAsia="en-US" w:bidi="ar-SA"/>
              </w:rPr>
              <w:t>8</w:t>
            </w:r>
          </w:p>
        </w:tc>
        <w:tc>
          <w:tcPr>
            <w:tcW w:w="1134"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Единица</w:t>
            </w:r>
          </w:p>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измерения</w:t>
            </w:r>
          </w:p>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(по ОКЕИ)</w:t>
            </w:r>
            <w:r>
              <w:rPr>
                <w:rFonts w:eastAsia="" w:cs="Times New Roman"/>
                <w:b/>
                <w:color w:val="000000"/>
                <w:kern w:val="0"/>
                <w:sz w:val="16"/>
                <w:szCs w:val="16"/>
                <w:vertAlign w:val="superscript"/>
                <w:lang w:val="ru-RU" w:eastAsia="en-US" w:bidi="ar-SA"/>
              </w:rPr>
              <w:t>36</w:t>
            </w:r>
          </w:p>
        </w:tc>
        <w:tc>
          <w:tcPr>
            <w:tcW w:w="1276"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kern w:val="0"/>
                <w:sz w:val="16"/>
                <w:szCs w:val="16"/>
                <w:lang w:val="ru-RU" w:eastAsia="en-US" w:bidi="ar-SA"/>
              </w:rPr>
              <w:t>Плановое значение на конец отчетного периода</w:t>
            </w:r>
            <w:r>
              <w:rPr>
                <w:rFonts w:eastAsia="" w:cs="Times New Roman"/>
                <w:b/>
                <w:kern w:val="0"/>
                <w:sz w:val="16"/>
                <w:szCs w:val="16"/>
                <w:vertAlign w:val="superscript"/>
                <w:lang w:val="ru-RU" w:eastAsia="en-US" w:bidi="ar-SA"/>
              </w:rPr>
              <w:t>36</w:t>
            </w:r>
          </w:p>
        </w:tc>
        <w:tc>
          <w:tcPr>
            <w:tcW w:w="1133"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kern w:val="0"/>
                <w:sz w:val="16"/>
                <w:szCs w:val="16"/>
                <w:lang w:val="ru-RU" w:eastAsia="en-US" w:bidi="ar-SA"/>
              </w:rPr>
              <w:t>Фактическое значение на конец отчетного периода</w:t>
            </w:r>
            <w:r>
              <w:rPr>
                <w:rFonts w:eastAsia="" w:cs="Times New Roman"/>
                <w:b/>
                <w:kern w:val="0"/>
                <w:sz w:val="16"/>
                <w:szCs w:val="16"/>
                <w:vertAlign w:val="superscript"/>
                <w:lang w:val="ru-RU" w:eastAsia="en-US" w:bidi="ar-SA"/>
              </w:rPr>
              <w:t>9</w:t>
            </w:r>
          </w:p>
        </w:tc>
        <w:tc>
          <w:tcPr>
            <w:tcW w:w="1134"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sz w:val="16"/>
                <w:szCs w:val="16"/>
              </w:rPr>
            </w:pPr>
            <w:r>
              <w:rPr>
                <w:rFonts w:eastAsia="" w:cs="Times New Roman"/>
                <w:b/>
                <w:kern w:val="0"/>
                <w:sz w:val="16"/>
                <w:szCs w:val="16"/>
                <w:lang w:val="ru-RU" w:eastAsia="en-US" w:bidi="ar-SA"/>
              </w:rPr>
              <w:t>Прогнозное значение на конец отчетного периода</w:t>
            </w:r>
            <w:r>
              <w:rPr>
                <w:rFonts w:eastAsia="" w:cs="Times New Roman"/>
                <w:b/>
                <w:kern w:val="0"/>
                <w:sz w:val="16"/>
                <w:szCs w:val="16"/>
                <w:vertAlign w:val="superscript"/>
                <w:lang w:val="ru-RU" w:eastAsia="en-US" w:bidi="ar-SA"/>
              </w:rPr>
              <w:t>9</w:t>
            </w:r>
          </w:p>
        </w:tc>
        <w:tc>
          <w:tcPr>
            <w:tcW w:w="1276"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sz w:val="16"/>
                <w:szCs w:val="16"/>
              </w:rPr>
            </w:pPr>
            <w:r>
              <w:rPr>
                <w:rFonts w:eastAsia="" w:cs="Times New Roman"/>
                <w:b/>
                <w:kern w:val="0"/>
                <w:sz w:val="16"/>
                <w:szCs w:val="16"/>
                <w:lang w:val="ru-RU" w:eastAsia="en-US" w:bidi="ar-SA"/>
              </w:rPr>
              <w:t>Подтверж-</w:t>
            </w:r>
          </w:p>
          <w:p>
            <w:pPr>
              <w:pStyle w:val="Normal"/>
              <w:widowControl w:val="false"/>
              <w:suppressAutoHyphens w:val="true"/>
              <w:spacing w:lineRule="auto" w:line="240" w:before="0" w:after="0"/>
              <w:ind w:left="-57" w:right="-57" w:hanging="0"/>
              <w:jc w:val="center"/>
              <w:rPr>
                <w:rFonts w:ascii="Times New Roman" w:hAnsi="Times New Roman"/>
                <w:b/>
                <w:sz w:val="16"/>
                <w:szCs w:val="16"/>
              </w:rPr>
            </w:pPr>
            <w:r>
              <w:rPr>
                <w:rFonts w:eastAsia="" w:cs="Times New Roman"/>
                <w:b/>
                <w:kern w:val="0"/>
                <w:sz w:val="16"/>
                <w:szCs w:val="16"/>
                <w:lang w:val="ru-RU" w:eastAsia="en-US" w:bidi="ar-SA"/>
              </w:rPr>
              <w:t>дающий документ</w:t>
            </w:r>
          </w:p>
        </w:tc>
        <w:tc>
          <w:tcPr>
            <w:tcW w:w="1134"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color w:val="000000"/>
                <w:kern w:val="0"/>
                <w:sz w:val="16"/>
                <w:szCs w:val="16"/>
                <w:lang w:val="ru-RU" w:eastAsia="en-US" w:bidi="ar-SA"/>
              </w:rPr>
              <w:t>Плановое значение на конец текущего года</w:t>
            </w:r>
            <w:bookmarkStart w:id="5" w:name="_Ref129272782"/>
            <w:r>
              <w:rPr>
                <w:rStyle w:val="Style18"/>
                <w:rFonts w:eastAsia="" w:cs="Times New Roman"/>
                <w:b/>
                <w:color w:val="000000"/>
                <w:kern w:val="0"/>
                <w:sz w:val="16"/>
                <w:szCs w:val="16"/>
                <w:lang w:val="ru-RU" w:eastAsia="en-US" w:bidi="ar-SA"/>
              </w:rPr>
              <w:footnoteReference w:id="16"/>
            </w:r>
            <w:bookmarkEnd w:id="5"/>
          </w:p>
        </w:tc>
        <w:tc>
          <w:tcPr>
            <w:tcW w:w="1275"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sz w:val="16"/>
                <w:szCs w:val="16"/>
              </w:rPr>
            </w:pPr>
            <w:r>
              <w:rPr>
                <w:rFonts w:eastAsia="" w:cs="Times New Roman"/>
                <w:b/>
                <w:kern w:val="0"/>
                <w:sz w:val="16"/>
                <w:szCs w:val="16"/>
                <w:lang w:val="ru-RU" w:eastAsia="en-US" w:bidi="ar-SA"/>
              </w:rPr>
              <w:t>Прогнозное значение на конец текущего года</w:t>
            </w:r>
          </w:p>
        </w:tc>
        <w:tc>
          <w:tcPr>
            <w:tcW w:w="13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kern w:val="0"/>
                <w:sz w:val="16"/>
                <w:szCs w:val="16"/>
                <w:lang w:val="ru-RU" w:eastAsia="en-US" w:bidi="ar-SA"/>
              </w:rPr>
              <w:t>Комментарий</w:t>
            </w:r>
            <w:bookmarkStart w:id="6" w:name="_Ref129272804"/>
            <w:r>
              <w:rPr>
                <w:rFonts w:eastAsia="" w:cs="Times New Roman"/>
                <w:b/>
                <w:kern w:val="0"/>
                <w:sz w:val="16"/>
                <w:szCs w:val="16"/>
                <w:vertAlign w:val="superscript"/>
                <w:lang w:val="ru-RU" w:eastAsia="en-US" w:bidi="ar-SA"/>
              </w:rPr>
              <w:t>1</w:t>
            </w:r>
            <w:bookmarkEnd w:id="6"/>
            <w:r>
              <w:rPr>
                <w:rFonts w:eastAsia="" w:cs="Times New Roman"/>
                <w:b/>
                <w:kern w:val="0"/>
                <w:sz w:val="16"/>
                <w:szCs w:val="16"/>
                <w:vertAlign w:val="superscript"/>
                <w:lang w:val="ru-RU" w:eastAsia="en-US" w:bidi="ar-SA"/>
              </w:rPr>
              <w:t>1</w:t>
            </w:r>
          </w:p>
        </w:tc>
      </w:tr>
      <w:tr>
        <w:trPr>
          <w:tblHeader w:val="true"/>
        </w:trPr>
        <w:tc>
          <w:tcPr>
            <w:tcW w:w="56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lang w:val="en-US"/>
              </w:rPr>
            </w:pPr>
            <w:r>
              <w:rPr>
                <w:rFonts w:eastAsia="" w:cs="Times New Roman"/>
                <w:b/>
                <w:color w:val="000000"/>
                <w:kern w:val="0"/>
                <w:sz w:val="16"/>
                <w:szCs w:val="16"/>
                <w:lang w:val="en-US" w:eastAsia="en-US" w:bidi="ar-SA"/>
              </w:rPr>
              <w:t>1</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lang w:val="en-US"/>
              </w:rPr>
            </w:pPr>
            <w:r>
              <w:rPr>
                <w:rFonts w:eastAsia="" w:cs="Times New Roman"/>
                <w:b/>
                <w:color w:val="000000"/>
                <w:kern w:val="0"/>
                <w:sz w:val="16"/>
                <w:szCs w:val="16"/>
                <w:lang w:val="en-US" w:eastAsia="en-US" w:bidi="ar-SA"/>
              </w:rPr>
              <w:t>2</w:t>
            </w:r>
          </w:p>
        </w:tc>
        <w:tc>
          <w:tcPr>
            <w:tcW w:w="127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3</w:t>
            </w:r>
          </w:p>
        </w:tc>
        <w:tc>
          <w:tcPr>
            <w:tcW w:w="1420"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4</w:t>
            </w:r>
          </w:p>
        </w:tc>
        <w:tc>
          <w:tcPr>
            <w:tcW w:w="1418"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5</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6</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7</w:t>
            </w:r>
          </w:p>
        </w:tc>
        <w:tc>
          <w:tcPr>
            <w:tcW w:w="1133"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8</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9</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10</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11</w:t>
            </w:r>
          </w:p>
        </w:tc>
        <w:tc>
          <w:tcPr>
            <w:tcW w:w="127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12</w:t>
            </w:r>
          </w:p>
        </w:tc>
        <w:tc>
          <w:tcPr>
            <w:tcW w:w="1388"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Times New Roman" w:hAnsi="Times New Roman"/>
                <w:b/>
                <w:color w:val="000000"/>
                <w:sz w:val="16"/>
                <w:szCs w:val="16"/>
              </w:rPr>
            </w:pPr>
            <w:r>
              <w:rPr>
                <w:rFonts w:eastAsia="" w:cs="Times New Roman"/>
                <w:b/>
                <w:color w:val="000000"/>
                <w:kern w:val="0"/>
                <w:sz w:val="16"/>
                <w:szCs w:val="16"/>
                <w:lang w:val="ru-RU" w:eastAsia="en-US" w:bidi="ar-SA"/>
              </w:rPr>
              <w:t>13</w:t>
            </w:r>
          </w:p>
        </w:tc>
      </w:tr>
      <w:tr>
        <w:trPr/>
        <w:tc>
          <w:tcPr>
            <w:tcW w:w="56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lang w:val="en-US"/>
              </w:rPr>
            </w:pPr>
            <w:r>
              <w:rPr>
                <w:rFonts w:eastAsia="" w:cs="Times New Roman"/>
                <w:color w:val="000000"/>
                <w:kern w:val="0"/>
                <w:sz w:val="16"/>
                <w:szCs w:val="16"/>
                <w:lang w:val="en-US" w:eastAsia="en-US" w:bidi="ar-SA"/>
              </w:rPr>
              <w:t>1.</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i/>
                <w:i/>
                <w:sz w:val="16"/>
                <w:szCs w:val="16"/>
              </w:rPr>
            </w:pPr>
            <w:r>
              <w:rPr>
                <w:i/>
                <w:sz w:val="16"/>
                <w:szCs w:val="16"/>
              </w:rPr>
            </w:r>
          </w:p>
        </w:tc>
        <w:tc>
          <w:tcPr>
            <w:tcW w:w="13863" w:type="dxa"/>
            <w:gridSpan w:val="11"/>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Times New Roman" w:hAnsi="Times New Roman"/>
                <w:i/>
                <w:i/>
                <w:color w:val="000000"/>
                <w:sz w:val="16"/>
                <w:szCs w:val="16"/>
              </w:rPr>
            </w:pPr>
            <w:r>
              <w:rPr>
                <w:rFonts w:eastAsia="" w:cs="Times New Roman"/>
                <w:i/>
                <w:kern w:val="0"/>
                <w:sz w:val="16"/>
                <w:szCs w:val="16"/>
                <w:lang w:val="ru-RU" w:eastAsia="en-US" w:bidi="ar-SA"/>
              </w:rPr>
              <w:t>Задача комплекса процессных мероприятий «</w:t>
            </w:r>
            <w:r>
              <w:rPr>
                <w:rFonts w:eastAsia="" w:cs="Tinos"/>
                <w:b/>
                <w:bCs/>
                <w:i w:val="false"/>
                <w:caps w:val="false"/>
                <w:smallCaps w:val="false"/>
                <w:color w:val="111111"/>
                <w:spacing w:val="0"/>
                <w:kern w:val="0"/>
                <w:sz w:val="18"/>
                <w:szCs w:val="18"/>
                <w:lang w:val="ru-RU" w:eastAsia="en-US" w:bidi="ar-SA"/>
              </w:rPr>
              <w:t>Повышение надежности и эффективности установок наружного освещения</w:t>
            </w:r>
            <w:r>
              <w:rPr>
                <w:rFonts w:eastAsia="" w:cs="Times New Roman"/>
                <w:i/>
                <w:kern w:val="0"/>
                <w:sz w:val="16"/>
                <w:szCs w:val="16"/>
                <w:lang w:val="ru-RU" w:eastAsia="en-US" w:bidi="ar-SA"/>
              </w:rPr>
              <w:t>»</w:t>
            </w:r>
          </w:p>
        </w:tc>
      </w:tr>
      <w:tr>
        <w:trPr/>
        <w:tc>
          <w:tcPr>
            <w:tcW w:w="56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lang w:val="en-US"/>
              </w:rPr>
            </w:pPr>
            <w:r>
              <w:rPr>
                <w:rFonts w:eastAsia="" w:cs="Times New Roman"/>
                <w:color w:val="000000"/>
                <w:kern w:val="0"/>
                <w:sz w:val="16"/>
                <w:szCs w:val="16"/>
                <w:lang w:val="ru-RU" w:eastAsia="en-US" w:bidi="ar-SA"/>
              </w:rPr>
              <w:t>1.</w:t>
            </w:r>
            <w:r>
              <w:rPr>
                <w:rFonts w:eastAsia="" w:cs="Times New Roman"/>
                <w:color w:val="000000"/>
                <w:kern w:val="0"/>
                <w:sz w:val="16"/>
                <w:szCs w:val="16"/>
                <w:lang w:val="en-US" w:eastAsia="en-US" w:bidi="ar-SA"/>
              </w:rPr>
              <w:t>1</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r>
          </w:p>
        </w:tc>
        <w:tc>
          <w:tcPr>
            <w:tcW w:w="1275" w:type="dxa"/>
            <w:tcBorders>
              <w:left w:val="single" w:sz="4" w:space="0" w:color="000000"/>
              <w:bottom w:val="single" w:sz="4" w:space="0" w:color="000000"/>
            </w:tcBorders>
            <w:vAlign w:val="center"/>
          </w:tcPr>
          <w:p>
            <w:pPr>
              <w:pStyle w:val="Normal"/>
              <w:widowControl w:val="false"/>
              <w:suppressAutoHyphens w:val="true"/>
              <w:spacing w:lineRule="auto" w:line="240" w:before="0" w:after="0"/>
              <w:ind w:left="0" w:right="0" w:hanging="0"/>
              <w:jc w:val="left"/>
              <w:rPr>
                <w:sz w:val="16"/>
                <w:szCs w:val="16"/>
              </w:rPr>
            </w:pPr>
            <w:r>
              <w:rPr>
                <w:rFonts w:eastAsia="" w:cs="Tinos"/>
                <w:b w:val="false"/>
                <w:i w:val="false"/>
                <w:caps w:val="false"/>
                <w:smallCaps w:val="false"/>
                <w:color w:val="111111"/>
                <w:spacing w:val="0"/>
                <w:kern w:val="0"/>
                <w:sz w:val="16"/>
                <w:szCs w:val="16"/>
                <w:lang w:val="ru-RU" w:eastAsia="en-US" w:bidi="ar-SA"/>
              </w:rPr>
              <w:t>Количество светоточек на территории населенных пунктов Красногвардейском районе</w:t>
            </w:r>
          </w:p>
        </w:tc>
        <w:tc>
          <w:tcPr>
            <w:tcW w:w="1420"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МП</w:t>
            </w:r>
          </w:p>
        </w:tc>
        <w:tc>
          <w:tcPr>
            <w:tcW w:w="1418"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Прогрессирующий</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Тыс.ед.</w:t>
            </w:r>
          </w:p>
        </w:tc>
        <w:tc>
          <w:tcPr>
            <w:tcW w:w="1276"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1133"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1134"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Инвентаризация светоточек</w:t>
            </w:r>
          </w:p>
        </w:tc>
        <w:tc>
          <w:tcPr>
            <w:tcW w:w="1134"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1275" w:type="dxa"/>
            <w:tcBorders>
              <w:left w:val="single" w:sz="4" w:space="0" w:color="000000"/>
              <w:bottom w:val="single" w:sz="4" w:space="0" w:color="000000"/>
            </w:tcBorders>
          </w:tcPr>
          <w:p>
            <w:pPr>
              <w:pStyle w:val="Normal"/>
              <w:widowControl w:val="false"/>
              <w:spacing w:lineRule="auto" w:line="240" w:before="0" w:after="0"/>
              <w:ind w:left="0" w:right="0" w:hanging="0"/>
              <w:jc w:val="center"/>
              <w:rPr>
                <w:rFonts w:ascii="Times New Roman" w:hAnsi="Times New Roman"/>
                <w:sz w:val="18"/>
                <w:szCs w:val="18"/>
              </w:rPr>
            </w:pPr>
            <w:r>
              <w:rPr>
                <w:sz w:val="18"/>
                <w:szCs w:val="18"/>
              </w:rPr>
              <w:t>5,696</w:t>
            </w:r>
          </w:p>
        </w:tc>
        <w:tc>
          <w:tcPr>
            <w:tcW w:w="1388"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r>
          </w:p>
        </w:tc>
      </w:tr>
      <w:tr>
        <w:trPr>
          <w:trHeight w:val="70" w:hRule="atLeast"/>
        </w:trPr>
        <w:tc>
          <w:tcPr>
            <w:tcW w:w="56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lang w:val="en-US"/>
              </w:rPr>
            </w:pPr>
            <w:r>
              <w:rPr>
                <w:rFonts w:eastAsia="" w:cs="Times New Roman"/>
                <w:color w:val="000000"/>
                <w:kern w:val="0"/>
                <w:sz w:val="16"/>
                <w:szCs w:val="16"/>
                <w:lang w:val="en-US" w:eastAsia="en-US" w:bidi="ar-SA"/>
              </w:rPr>
              <w:t>2</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i/>
                <w:i/>
                <w:sz w:val="16"/>
                <w:szCs w:val="16"/>
              </w:rPr>
            </w:pPr>
            <w:r>
              <w:rPr>
                <w:i/>
                <w:sz w:val="16"/>
                <w:szCs w:val="16"/>
              </w:rPr>
            </w:r>
          </w:p>
        </w:tc>
        <w:tc>
          <w:tcPr>
            <w:tcW w:w="13863" w:type="dxa"/>
            <w:gridSpan w:val="11"/>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Times New Roman" w:hAnsi="Times New Roman"/>
                <w:i/>
                <w:i/>
                <w:color w:val="000000"/>
                <w:sz w:val="16"/>
                <w:szCs w:val="16"/>
              </w:rPr>
            </w:pPr>
            <w:r>
              <w:rPr>
                <w:rFonts w:eastAsia="" w:cs="Times New Roman"/>
                <w:i/>
                <w:kern w:val="0"/>
                <w:sz w:val="16"/>
                <w:szCs w:val="16"/>
                <w:lang w:val="ru-RU" w:eastAsia="en-US" w:bidi="ar-SA"/>
              </w:rPr>
              <w:t>Задача комплекса процессных мероприятий «</w:t>
            </w:r>
            <w:r>
              <w:rPr>
                <w:rFonts w:eastAsia="" w:cs="Tinos"/>
                <w:b/>
                <w:bCs/>
                <w:i w:val="false"/>
                <w:caps w:val="false"/>
                <w:smallCaps w:val="false"/>
                <w:color w:val="111111"/>
                <w:spacing w:val="0"/>
                <w:kern w:val="0"/>
                <w:sz w:val="18"/>
                <w:szCs w:val="18"/>
                <w:lang w:val="ru-RU" w:eastAsia="en-US" w:bidi="ar-SA"/>
              </w:rPr>
              <w:t>Обеспечение гарантий погребения умерших (погибших), не имеющих супруга, близких родственников, иных родственников либо законного представителя умершего</w:t>
            </w:r>
            <w:r>
              <w:rPr>
                <w:rFonts w:eastAsia="" w:cs="Times New Roman"/>
                <w:i/>
                <w:kern w:val="0"/>
                <w:sz w:val="16"/>
                <w:szCs w:val="16"/>
                <w:lang w:val="ru-RU" w:eastAsia="en-US" w:bidi="ar-SA"/>
              </w:rPr>
              <w:t>»</w:t>
            </w:r>
          </w:p>
        </w:tc>
      </w:tr>
      <w:tr>
        <w:trPr>
          <w:trHeight w:val="70" w:hRule="atLeast"/>
        </w:trPr>
        <w:tc>
          <w:tcPr>
            <w:tcW w:w="56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lang w:val="en-US"/>
              </w:rPr>
            </w:pPr>
            <w:r>
              <w:rPr>
                <w:rFonts w:eastAsia="" w:cs="Times New Roman"/>
                <w:color w:val="000000"/>
                <w:kern w:val="0"/>
                <w:sz w:val="16"/>
                <w:szCs w:val="16"/>
                <w:lang w:val="en-US" w:eastAsia="en-US" w:bidi="ar-SA"/>
              </w:rPr>
              <w:t>1</w:t>
            </w:r>
          </w:p>
        </w:tc>
        <w:tc>
          <w:tcPr>
            <w:tcW w:w="1277"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r>
          </w:p>
        </w:tc>
        <w:tc>
          <w:tcPr>
            <w:tcW w:w="1275" w:type="dxa"/>
            <w:tcBorders>
              <w:left w:val="single" w:sz="4" w:space="0" w:color="000000"/>
              <w:bottom w:val="single" w:sz="4" w:space="0" w:color="000000"/>
            </w:tcBorders>
            <w:vAlign w:val="center"/>
          </w:tcPr>
          <w:p>
            <w:pPr>
              <w:pStyle w:val="Style23"/>
              <w:widowControl w:val="false"/>
              <w:suppressAutoHyphens w:val="true"/>
              <w:spacing w:lineRule="auto" w:line="240" w:before="0" w:after="0"/>
              <w:ind w:left="0" w:right="0" w:hanging="0"/>
              <w:jc w:val="left"/>
              <w:rPr>
                <w:sz w:val="16"/>
                <w:szCs w:val="16"/>
              </w:rPr>
            </w:pPr>
            <w:r>
              <w:rPr>
                <w:rFonts w:eastAsia="" w:cs="Times New Roman"/>
                <w:b w:val="false"/>
                <w:i w:val="false"/>
                <w:caps w:val="false"/>
                <w:smallCaps w:val="false"/>
                <w:color w:val="000000"/>
                <w:spacing w:val="0"/>
                <w:kern w:val="0"/>
                <w:sz w:val="16"/>
                <w:szCs w:val="16"/>
                <w:lang w:val="en-US" w:eastAsia="en-US" w:bidi="ar-SA"/>
              </w:rPr>
              <w:t>Количество умерших (погибших), не имеющих супруга, близких родственников, иных родственников либо законного представителя</w:t>
            </w:r>
          </w:p>
        </w:tc>
        <w:tc>
          <w:tcPr>
            <w:tcW w:w="1420"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МП</w:t>
            </w:r>
          </w:p>
        </w:tc>
        <w:tc>
          <w:tcPr>
            <w:tcW w:w="1418"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х</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Чел.</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1</w:t>
            </w:r>
          </w:p>
        </w:tc>
        <w:tc>
          <w:tcPr>
            <w:tcW w:w="1133"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0</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1</w:t>
            </w:r>
          </w:p>
        </w:tc>
        <w:tc>
          <w:tcPr>
            <w:tcW w:w="1276"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1</w:t>
            </w:r>
          </w:p>
        </w:tc>
        <w:tc>
          <w:tcPr>
            <w:tcW w:w="1275" w:type="dxa"/>
            <w:tcBorders>
              <w:left w:val="single" w:sz="4" w:space="0" w:color="000000"/>
              <w:bottom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1</w:t>
            </w:r>
          </w:p>
        </w:tc>
        <w:tc>
          <w:tcPr>
            <w:tcW w:w="1388"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В течении 2025 года  не умирали люди, у которых отсутствуют родственники</w:t>
            </w:r>
          </w:p>
        </w:tc>
      </w:tr>
    </w:tbl>
    <w:p>
      <w:pPr>
        <w:pStyle w:val="ListParagraph"/>
        <w:ind w:left="0" w:right="536" w:hanging="0"/>
        <w:rPr>
          <w:rFonts w:ascii="Times New Roman" w:hAnsi="Times New Roman"/>
          <w:bCs/>
          <w:color w:val="000000"/>
          <w:sz w:val="20"/>
          <w:szCs w:val="20"/>
        </w:rPr>
      </w:pPr>
      <w:r>
        <w:rPr>
          <w:bCs/>
          <w:color w:val="000000"/>
          <w:sz w:val="20"/>
          <w:szCs w:val="20"/>
        </w:rPr>
      </w:r>
    </w:p>
    <w:p>
      <w:pPr>
        <w:pStyle w:val="ListParagraph"/>
        <w:ind w:left="0" w:right="536" w:hanging="0"/>
        <w:jc w:val="center"/>
        <w:rPr>
          <w:rFonts w:ascii="Times New Roman" w:hAnsi="Times New Roman"/>
          <w:bCs/>
          <w:color w:val="000000"/>
          <w:sz w:val="24"/>
          <w:szCs w:val="24"/>
        </w:rPr>
      </w:pPr>
      <w:r>
        <w:rPr>
          <w:bCs/>
          <w:color w:val="000000"/>
          <w:sz w:val="24"/>
          <w:szCs w:val="24"/>
        </w:rPr>
      </w:r>
    </w:p>
    <w:p>
      <w:pPr>
        <w:pStyle w:val="Normal"/>
        <w:spacing w:lineRule="auto" w:line="240" w:before="0" w:after="0"/>
        <w:jc w:val="center"/>
        <w:rPr>
          <w:rFonts w:ascii="Times New Roman" w:hAnsi="Times New Roman"/>
          <w:sz w:val="24"/>
          <w:szCs w:val="24"/>
        </w:rPr>
      </w:pPr>
      <w:r>
        <w:rPr>
          <w:sz w:val="24"/>
          <w:szCs w:val="24"/>
        </w:rPr>
      </w:r>
    </w:p>
    <w:p>
      <w:pPr>
        <w:pStyle w:val="Normal"/>
        <w:spacing w:lineRule="auto" w:line="240" w:before="0" w:after="0"/>
        <w:jc w:val="center"/>
        <w:rPr>
          <w:rFonts w:ascii="Times New Roman" w:hAnsi="Times New Roman"/>
          <w:sz w:val="24"/>
          <w:szCs w:val="24"/>
        </w:rPr>
      </w:pPr>
      <w:r>
        <w:rPr>
          <w:sz w:val="24"/>
          <w:szCs w:val="24"/>
        </w:rPr>
      </w:r>
    </w:p>
    <w:p>
      <w:pPr>
        <w:pStyle w:val="Normal"/>
        <w:spacing w:lineRule="auto" w:line="240" w:before="0" w:after="0"/>
        <w:jc w:val="center"/>
        <w:rPr>
          <w:rFonts w:ascii="Times New Roman" w:hAnsi="Times New Roman"/>
          <w:sz w:val="24"/>
          <w:szCs w:val="24"/>
        </w:rPr>
      </w:pPr>
      <w:r>
        <w:rPr>
          <w:sz w:val="24"/>
          <w:szCs w:val="24"/>
        </w:rPr>
      </w:r>
    </w:p>
    <w:p>
      <w:pPr>
        <w:pStyle w:val="Normal"/>
        <w:spacing w:lineRule="auto" w:line="240" w:before="0" w:after="0"/>
        <w:jc w:val="center"/>
        <w:rPr>
          <w:rFonts w:ascii="Times New Roman" w:hAnsi="Times New Roman"/>
          <w:sz w:val="24"/>
          <w:szCs w:val="24"/>
        </w:rPr>
      </w:pPr>
      <w:r>
        <w:rPr>
          <w:sz w:val="24"/>
          <w:szCs w:val="24"/>
        </w:rPr>
        <w:t>2. Сведения о помесячном достижении показателей комплекса процессных мероприятий «</w:t>
      </w:r>
      <w:r>
        <w:rPr>
          <w:rFonts w:eastAsia="" w:cs="Tinos"/>
          <w:b/>
          <w:bCs/>
          <w:i w:val="false"/>
          <w:iCs w:val="false"/>
          <w:caps w:val="false"/>
          <w:smallCaps w:val="false"/>
          <w:color w:val="000000"/>
          <w:spacing w:val="0"/>
          <w:kern w:val="0"/>
          <w:sz w:val="24"/>
          <w:szCs w:val="24"/>
          <w:shd w:fill="auto" w:val="clear"/>
          <w:lang w:val="ru-RU" w:eastAsia="en-US" w:bidi="ar-SA"/>
        </w:rPr>
        <w:t>Создание условий для обеспечения населения качественными услугами жилищно-коммунального хозяйств»</w:t>
      </w:r>
      <w:r>
        <w:rPr>
          <w:sz w:val="24"/>
          <w:szCs w:val="24"/>
        </w:rPr>
        <w:t xml:space="preserve"> в </w:t>
      </w:r>
      <w:r>
        <w:rPr>
          <w:i/>
          <w:sz w:val="24"/>
          <w:szCs w:val="24"/>
        </w:rPr>
        <w:t xml:space="preserve">2025 </w:t>
      </w:r>
      <w:r>
        <w:rPr>
          <w:sz w:val="24"/>
          <w:szCs w:val="24"/>
        </w:rPr>
        <w:t>году</w:t>
      </w:r>
      <w:r>
        <w:rPr>
          <w:rStyle w:val="Style18"/>
          <w:sz w:val="24"/>
          <w:szCs w:val="24"/>
        </w:rPr>
        <w:footnoteReference w:id="17"/>
      </w:r>
    </w:p>
    <w:p>
      <w:pPr>
        <w:pStyle w:val="Normal"/>
        <w:spacing w:lineRule="auto" w:line="240" w:before="0" w:after="0"/>
        <w:jc w:val="center"/>
        <w:rPr>
          <w:rFonts w:ascii="Times New Roman" w:hAnsi="Times New Roman"/>
          <w:sz w:val="20"/>
          <w:szCs w:val="20"/>
        </w:rPr>
      </w:pPr>
      <w:r>
        <w:rPr>
          <w:sz w:val="20"/>
          <w:szCs w:val="20"/>
        </w:rPr>
      </w:r>
    </w:p>
    <w:tbl>
      <w:tblPr>
        <w:tblW w:w="5000" w:type="pct"/>
        <w:jc w:val="left"/>
        <w:tblInd w:w="0" w:type="dxa"/>
        <w:tblLayout w:type="fixed"/>
        <w:tblCellMar>
          <w:top w:w="0" w:type="dxa"/>
          <w:left w:w="6" w:type="dxa"/>
          <w:bottom w:w="0" w:type="dxa"/>
          <w:right w:w="6" w:type="dxa"/>
        </w:tblCellMar>
        <w:tblLook w:noVBand="0" w:val="0000" w:noHBand="0" w:lastColumn="0" w:firstColumn="0" w:lastRow="0" w:firstRow="0"/>
      </w:tblPr>
      <w:tblGrid>
        <w:gridCol w:w="543"/>
        <w:gridCol w:w="4180"/>
        <w:gridCol w:w="1017"/>
        <w:gridCol w:w="650"/>
        <w:gridCol w:w="654"/>
        <w:gridCol w:w="653"/>
        <w:gridCol w:w="654"/>
        <w:gridCol w:w="650"/>
        <w:gridCol w:w="654"/>
        <w:gridCol w:w="653"/>
        <w:gridCol w:w="654"/>
        <w:gridCol w:w="650"/>
        <w:gridCol w:w="651"/>
        <w:gridCol w:w="666"/>
        <w:gridCol w:w="1641"/>
      </w:tblGrid>
      <w:tr>
        <w:trPr>
          <w:tblHeader w:val="true"/>
          <w:trHeight w:val="20" w:hRule="atLeast"/>
        </w:trPr>
        <w:tc>
          <w:tcPr>
            <w:tcW w:w="5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 xml:space="preserve">№ </w:t>
            </w:r>
            <w:r>
              <w:rPr>
                <w:b/>
                <w:sz w:val="16"/>
                <w:szCs w:val="16"/>
              </w:rPr>
              <w:t>п/п</w:t>
            </w:r>
          </w:p>
        </w:tc>
        <w:tc>
          <w:tcPr>
            <w:tcW w:w="418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Наименование показателя</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Уровень показателя</w:t>
            </w:r>
          </w:p>
        </w:tc>
        <w:tc>
          <w:tcPr>
            <w:tcW w:w="7189"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Плановые значения по кварталам/месяцам</w:t>
            </w:r>
          </w:p>
        </w:tc>
        <w:tc>
          <w:tcPr>
            <w:tcW w:w="164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 xml:space="preserve">На конец </w:t>
            </w:r>
            <w:r>
              <w:rPr>
                <w:b/>
                <w:i/>
                <w:sz w:val="16"/>
                <w:szCs w:val="16"/>
              </w:rPr>
              <w:t>2025</w:t>
            </w:r>
            <w:r>
              <w:rPr>
                <w:b/>
                <w:sz w:val="16"/>
                <w:szCs w:val="16"/>
              </w:rPr>
              <w:t xml:space="preserve"> года</w:t>
            </w:r>
          </w:p>
        </w:tc>
      </w:tr>
      <w:tr>
        <w:trPr>
          <w:tblHeader w:val="true"/>
          <w:trHeight w:val="225" w:hRule="atLeast"/>
        </w:trPr>
        <w:tc>
          <w:tcPr>
            <w:tcW w:w="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20"/>
              </w:rPr>
            </w:pPr>
            <w:r>
              <w:rPr>
                <w:sz w:val="20"/>
                <w:szCs w:val="20"/>
              </w:rPr>
            </w:r>
          </w:p>
        </w:tc>
        <w:tc>
          <w:tcPr>
            <w:tcW w:w="418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20"/>
              </w:rPr>
            </w:pPr>
            <w:r>
              <w:rPr>
                <w:sz w:val="20"/>
                <w:szCs w:val="20"/>
              </w:rPr>
            </w:r>
          </w:p>
        </w:tc>
        <w:tc>
          <w:tcPr>
            <w:tcW w:w="10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20"/>
              </w:rPr>
            </w:pPr>
            <w:r>
              <w:rPr>
                <w:sz w:val="20"/>
                <w:szCs w:val="20"/>
              </w:rPr>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янв.</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фев.</w:t>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март</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апр.</w:t>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май</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июнь</w:t>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июль</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авг.</w:t>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b/>
                <w:sz w:val="16"/>
                <w:szCs w:val="16"/>
              </w:rPr>
            </w:pPr>
            <w:r>
              <w:rPr>
                <w:b/>
                <w:sz w:val="16"/>
                <w:szCs w:val="16"/>
              </w:rPr>
              <w:t>сен.</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окт.</w:t>
            </w:r>
          </w:p>
        </w:tc>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ноя.</w:t>
            </w:r>
          </w:p>
        </w:tc>
        <w:tc>
          <w:tcPr>
            <w:tcW w:w="164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20"/>
                <w:szCs w:val="20"/>
              </w:rPr>
            </w:pPr>
            <w:r>
              <w:rPr>
                <w:sz w:val="20"/>
                <w:szCs w:val="20"/>
              </w:rPr>
            </w:r>
          </w:p>
        </w:tc>
      </w:tr>
      <w:tr>
        <w:trPr>
          <w:tblHeader w:val="true"/>
          <w:trHeight w:val="20"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w:t>
            </w:r>
          </w:p>
        </w:tc>
        <w:tc>
          <w:tcPr>
            <w:tcW w:w="41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w:t>
            </w:r>
          </w:p>
        </w:tc>
        <w:tc>
          <w:tcPr>
            <w:tcW w:w="10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3</w:t>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4</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5</w:t>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6</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7</w:t>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8</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9</w:t>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10</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11</w:t>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12</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13</w:t>
            </w:r>
          </w:p>
        </w:tc>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14</w:t>
            </w:r>
          </w:p>
        </w:tc>
        <w:tc>
          <w:tcPr>
            <w:tcW w:w="16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15</w:t>
            </w:r>
          </w:p>
        </w:tc>
      </w:tr>
      <w:tr>
        <w:trPr>
          <w:trHeight w:val="20" w:hRule="atLeast"/>
        </w:trPr>
        <w:tc>
          <w:tcPr>
            <w:tcW w:w="5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w:t>
            </w:r>
          </w:p>
        </w:tc>
        <w:tc>
          <w:tcPr>
            <w:tcW w:w="14027" w:type="dxa"/>
            <w:gridSpan w:val="14"/>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sz w:val="16"/>
                <w:szCs w:val="16"/>
              </w:rPr>
            </w:pPr>
            <w:r>
              <w:rPr>
                <w:rFonts w:cs="Tinos"/>
                <w:b/>
                <w:bCs/>
                <w:i w:val="false"/>
                <w:caps w:val="false"/>
                <w:smallCaps w:val="false"/>
                <w:color w:val="111111"/>
                <w:spacing w:val="0"/>
                <w:kern w:val="0"/>
                <w:sz w:val="16"/>
                <w:szCs w:val="16"/>
                <w:u w:val="none" w:color="000000"/>
                <w:lang w:val="ru-RU" w:bidi="ar-SA"/>
              </w:rPr>
              <w:t>Повышение надежности и эффективности установок наружного освещения</w:t>
            </w:r>
          </w:p>
        </w:tc>
      </w:tr>
      <w:tr>
        <w:trPr>
          <w:trHeight w:val="20" w:hRule="atLeast"/>
        </w:trPr>
        <w:tc>
          <w:tcPr>
            <w:tcW w:w="5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1.1.</w:t>
            </w:r>
          </w:p>
        </w:tc>
        <w:tc>
          <w:tcPr>
            <w:tcW w:w="14027" w:type="dxa"/>
            <w:gridSpan w:val="14"/>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16"/>
                <w:szCs w:val="16"/>
              </w:rPr>
            </w:pPr>
            <w:r>
              <w:rPr>
                <w:rFonts w:cs="Tinos"/>
                <w:bCs/>
                <w:i/>
                <w:color w:val="000000"/>
                <w:kern w:val="0"/>
                <w:sz w:val="16"/>
                <w:szCs w:val="16"/>
                <w:u w:val="none" w:color="000000"/>
                <w:shd w:fill="auto" w:val="clear"/>
                <w:lang w:val="ru-RU" w:bidi="ar-SA"/>
              </w:rPr>
              <w:t>Организация наружного освещения населенных пунктов Белгородской области, тыс.руб.</w:t>
            </w:r>
          </w:p>
        </w:tc>
      </w:tr>
      <w:tr>
        <w:trPr>
          <w:trHeight w:val="20" w:hRule="atLeast"/>
        </w:trPr>
        <w:tc>
          <w:tcPr>
            <w:tcW w:w="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41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Cs/>
                <w:i/>
                <w:i/>
                <w:color w:val="000000"/>
                <w:sz w:val="16"/>
                <w:szCs w:val="16"/>
                <w:u w:val="none" w:color="000000"/>
              </w:rPr>
            </w:pPr>
            <w:r>
              <w:rPr>
                <w:bCs/>
                <w:i/>
                <w:color w:val="000000"/>
                <w:sz w:val="16"/>
                <w:szCs w:val="16"/>
                <w:u w:val="none" w:color="000000"/>
              </w:rPr>
              <w:t>план</w:t>
            </w:r>
          </w:p>
        </w:tc>
        <w:tc>
          <w:tcPr>
            <w:tcW w:w="10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i/>
                <w:i/>
                <w:sz w:val="16"/>
                <w:szCs w:val="16"/>
                <w:u w:val="none" w:color="000000"/>
              </w:rPr>
            </w:pPr>
            <w:r>
              <w:rPr>
                <w:i/>
                <w:sz w:val="16"/>
                <w:szCs w:val="16"/>
                <w:u w:val="none" w:color="000000"/>
              </w:rPr>
              <w:t>МП</w:t>
            </w:r>
          </w:p>
        </w:tc>
        <w:tc>
          <w:tcPr>
            <w:tcW w:w="6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16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28485</w:t>
            </w:r>
          </w:p>
        </w:tc>
      </w:tr>
      <w:tr>
        <w:trPr>
          <w:trHeight w:val="20" w:hRule="atLeast"/>
        </w:trPr>
        <w:tc>
          <w:tcPr>
            <w:tcW w:w="5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41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0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rPr>
                <w:rFonts w:ascii="Times New Roman" w:hAnsi="Times New Roman"/>
                <w:i/>
                <w:i/>
                <w:sz w:val="16"/>
                <w:szCs w:val="16"/>
                <w:u w:val="none" w:color="000000"/>
              </w:rPr>
            </w:pPr>
            <w:r>
              <w:rPr>
                <w:i/>
                <w:sz w:val="16"/>
                <w:szCs w:val="16"/>
                <w:u w:val="none" w:color="000000"/>
              </w:rPr>
            </w:r>
          </w:p>
        </w:tc>
        <w:tc>
          <w:tcPr>
            <w:tcW w:w="65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6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rFonts w:cs="Tinos"/>
                <w:sz w:val="16"/>
                <w:szCs w:val="16"/>
                <w:shd w:fill="auto" w:val="clear"/>
              </w:rPr>
              <w:t>7117,0</w:t>
            </w:r>
          </w:p>
        </w:tc>
        <w:tc>
          <w:tcPr>
            <w:tcW w:w="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7115,96</w:t>
            </w:r>
          </w:p>
        </w:tc>
        <w:tc>
          <w:tcPr>
            <w:tcW w:w="16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28466,960</w:t>
            </w:r>
          </w:p>
        </w:tc>
      </w:tr>
      <w:tr>
        <w:trPr>
          <w:trHeight w:val="20" w:hRule="atLeast"/>
        </w:trPr>
        <w:tc>
          <w:tcPr>
            <w:tcW w:w="54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w:t>
            </w:r>
          </w:p>
        </w:tc>
        <w:tc>
          <w:tcPr>
            <w:tcW w:w="14027" w:type="dxa"/>
            <w:gridSpan w:val="14"/>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both"/>
              <w:rPr>
                <w:sz w:val="16"/>
                <w:szCs w:val="16"/>
              </w:rPr>
            </w:pPr>
            <w:r>
              <w:rPr>
                <w:b/>
                <w:i w:val="false"/>
                <w:caps w:val="false"/>
                <w:smallCaps w:val="false"/>
                <w:color w:val="111111"/>
                <w:spacing w:val="0"/>
                <w:sz w:val="16"/>
                <w:szCs w:val="16"/>
              </w:rPr>
              <w:t>Обеспечение гарантий погребения умерших (погибших), не имеющих супруга, близких родственников, иных родственников либо законного представителя умершего</w:t>
            </w:r>
          </w:p>
        </w:tc>
      </w:tr>
      <w:tr>
        <w:trPr>
          <w:trHeight w:val="20" w:hRule="atLeast"/>
        </w:trPr>
        <w:tc>
          <w:tcPr>
            <w:tcW w:w="543"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2.1.</w:t>
            </w:r>
          </w:p>
        </w:tc>
        <w:tc>
          <w:tcPr>
            <w:tcW w:w="14027" w:type="dxa"/>
            <w:gridSpan w:val="14"/>
            <w:tcBorders>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0" w:right="0" w:hanging="0"/>
              <w:jc w:val="left"/>
              <w:rPr>
                <w:sz w:val="16"/>
                <w:szCs w:val="16"/>
              </w:rPr>
            </w:pPr>
            <w:r>
              <w:rPr>
                <w:sz w:val="16"/>
                <w:szCs w:val="16"/>
              </w:rPr>
              <w:t>Выплата социального пособия на погребения и возмещение расходов по гарантированному перечню услуг по погребению в рамках ст. 12 Федерального Закона от 12.01.1996 № 8-ФЗ</w:t>
            </w:r>
          </w:p>
        </w:tc>
      </w:tr>
      <w:tr>
        <w:trPr>
          <w:trHeight w:val="20" w:hRule="atLeast"/>
        </w:trPr>
        <w:tc>
          <w:tcPr>
            <w:tcW w:w="5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418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Cs/>
                <w:i/>
                <w:i/>
                <w:color w:val="000000"/>
                <w:sz w:val="16"/>
                <w:szCs w:val="16"/>
                <w:u w:val="none" w:color="000000"/>
              </w:rPr>
            </w:pPr>
            <w:r>
              <w:rPr>
                <w:bCs/>
                <w:i/>
                <w:color w:val="000000"/>
                <w:sz w:val="16"/>
                <w:szCs w:val="16"/>
                <w:u w:val="none" w:color="000000"/>
              </w:rPr>
              <w:t>план</w:t>
            </w:r>
          </w:p>
        </w:tc>
        <w:tc>
          <w:tcPr>
            <w:tcW w:w="1017" w:type="dxa"/>
            <w:vMerge w:val="restart"/>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i/>
                <w:i/>
                <w:sz w:val="16"/>
                <w:szCs w:val="16"/>
                <w:u w:val="none" w:color="000000"/>
              </w:rPr>
            </w:pPr>
            <w:r>
              <w:rPr>
                <w:i/>
                <w:sz w:val="16"/>
                <w:szCs w:val="16"/>
                <w:u w:val="none" w:color="000000"/>
              </w:rPr>
              <w:t>МП</w:t>
            </w:r>
          </w:p>
        </w:tc>
        <w:tc>
          <w:tcPr>
            <w:tcW w:w="650" w:type="dxa"/>
            <w:tcBorders>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4" w:type="dxa"/>
            <w:tcBorders>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3"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sz w:val="16"/>
                <w:szCs w:val="16"/>
              </w:rPr>
            </w:r>
          </w:p>
        </w:tc>
        <w:tc>
          <w:tcPr>
            <w:tcW w:w="654"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sz w:val="16"/>
                <w:szCs w:val="16"/>
              </w:rPr>
            </w:r>
          </w:p>
        </w:tc>
        <w:tc>
          <w:tcPr>
            <w:tcW w:w="65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sz w:val="16"/>
                <w:szCs w:val="16"/>
              </w:rPr>
              <w:t>17,000</w:t>
            </w:r>
          </w:p>
        </w:tc>
        <w:tc>
          <w:tcPr>
            <w:tcW w:w="651"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6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1641"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17,000</w:t>
            </w:r>
          </w:p>
        </w:tc>
      </w:tr>
      <w:tr>
        <w:trPr>
          <w:trHeight w:val="234" w:hRule="atLeast"/>
        </w:trPr>
        <w:tc>
          <w:tcPr>
            <w:tcW w:w="543"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418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bCs/>
                <w:i/>
                <w:i/>
                <w:color w:val="000000"/>
                <w:sz w:val="16"/>
                <w:szCs w:val="16"/>
                <w:u w:val="none" w:color="000000"/>
              </w:rPr>
            </w:pPr>
            <w:r>
              <w:rPr>
                <w:bCs/>
                <w:i/>
                <w:color w:val="000000"/>
                <w:sz w:val="16"/>
                <w:szCs w:val="16"/>
                <w:u w:val="none" w:color="000000"/>
              </w:rPr>
              <w:t>факт/прогноз</w:t>
            </w:r>
          </w:p>
        </w:tc>
        <w:tc>
          <w:tcPr>
            <w:tcW w:w="1017"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rPr>
                <w:rFonts w:ascii="Times New Roman" w:hAnsi="Times New Roman"/>
                <w:i/>
                <w:i/>
                <w:sz w:val="16"/>
                <w:szCs w:val="16"/>
                <w:u w:val="none" w:color="000000"/>
              </w:rPr>
            </w:pPr>
            <w:r>
              <w:rPr>
                <w:i/>
                <w:sz w:val="16"/>
                <w:szCs w:val="16"/>
                <w:u w:val="none" w:color="000000"/>
              </w:rPr>
            </w:r>
          </w:p>
        </w:tc>
        <w:tc>
          <w:tcPr>
            <w:tcW w:w="650" w:type="dxa"/>
            <w:tcBorders>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4" w:type="dxa"/>
            <w:tcBorders>
              <w:left w:val="single" w:sz="4" w:space="0" w:color="000000"/>
              <w:bottom w:val="single" w:sz="4" w:space="0" w:color="000000"/>
              <w:right w:val="single" w:sz="4" w:space="0" w:color="000000"/>
            </w:tcBorders>
          </w:tcPr>
          <w:p>
            <w:pPr>
              <w:pStyle w:val="Normal"/>
              <w:widowControl w:val="false"/>
              <w:spacing w:lineRule="auto" w:line="240" w:before="0" w:after="0"/>
              <w:ind w:left="-57" w:right="-57" w:hanging="0"/>
              <w:jc w:val="center"/>
              <w:rPr>
                <w:rFonts w:ascii="Times New Roman" w:hAnsi="Times New Roman"/>
                <w:i/>
                <w:i/>
                <w:sz w:val="16"/>
                <w:szCs w:val="16"/>
              </w:rPr>
            </w:pPr>
            <w:r>
              <w:rPr>
                <w:i/>
                <w:sz w:val="16"/>
                <w:szCs w:val="16"/>
              </w:rPr>
            </w:r>
          </w:p>
        </w:tc>
        <w:tc>
          <w:tcPr>
            <w:tcW w:w="653"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sz w:val="16"/>
                <w:szCs w:val="16"/>
              </w:rPr>
            </w:r>
          </w:p>
        </w:tc>
        <w:tc>
          <w:tcPr>
            <w:tcW w:w="654"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sz w:val="16"/>
                <w:szCs w:val="16"/>
              </w:rPr>
            </w:r>
          </w:p>
        </w:tc>
        <w:tc>
          <w:tcPr>
            <w:tcW w:w="653"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4"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50" w:type="dxa"/>
            <w:tcBorders>
              <w:left w:val="single" w:sz="4" w:space="0" w:color="000000"/>
              <w:bottom w:val="single" w:sz="4" w:space="0" w:color="000000"/>
              <w:right w:val="single" w:sz="4" w:space="0" w:color="000000"/>
            </w:tcBorders>
            <w:vAlign w:val="center"/>
          </w:tcPr>
          <w:p>
            <w:pPr>
              <w:pStyle w:val="Normal"/>
              <w:widowControl w:val="false"/>
              <w:tabs>
                <w:tab w:val="clear" w:pos="708"/>
                <w:tab w:val="left" w:pos="1853" w:leader="none"/>
              </w:tabs>
              <w:suppressAutoHyphens w:val="true"/>
              <w:bidi w:val="0"/>
              <w:spacing w:lineRule="atLeast" w:line="0" w:before="0" w:after="0"/>
              <w:ind w:left="113" w:right="0" w:hanging="0"/>
              <w:jc w:val="center"/>
              <w:rPr>
                <w:sz w:val="16"/>
                <w:szCs w:val="16"/>
              </w:rPr>
            </w:pPr>
            <w:r>
              <w:rPr>
                <w:sz w:val="16"/>
                <w:szCs w:val="16"/>
              </w:rPr>
              <w:t>0</w:t>
            </w:r>
          </w:p>
        </w:tc>
        <w:tc>
          <w:tcPr>
            <w:tcW w:w="651"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66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r>
          </w:p>
        </w:tc>
        <w:tc>
          <w:tcPr>
            <w:tcW w:w="1641"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0</w:t>
            </w:r>
          </w:p>
        </w:tc>
      </w:tr>
    </w:tbl>
    <w:p>
      <w:pPr>
        <w:pStyle w:val="Normal"/>
        <w:spacing w:lineRule="auto" w:line="240" w:before="0" w:after="0"/>
        <w:rPr>
          <w:rFonts w:ascii="Times New Roman" w:hAnsi="Times New Roman"/>
          <w:bCs/>
          <w:color w:val="000000"/>
          <w:sz w:val="20"/>
          <w:szCs w:val="20"/>
        </w:rPr>
      </w:pPr>
      <w:r>
        <w:rPr>
          <w:bCs/>
          <w:color w:val="000000"/>
          <w:sz w:val="20"/>
          <w:szCs w:val="20"/>
        </w:rPr>
      </w:r>
    </w:p>
    <w:p>
      <w:pPr>
        <w:pStyle w:val="Normal"/>
        <w:spacing w:lineRule="auto" w:line="240" w:before="0" w:after="0"/>
        <w:ind w:left="360" w:hanging="0"/>
        <w:jc w:val="center"/>
        <w:rPr>
          <w:rFonts w:ascii="Times New Roman" w:hAnsi="Times New Roman"/>
          <w:bCs/>
          <w:color w:val="000000"/>
          <w:sz w:val="24"/>
          <w:szCs w:val="24"/>
        </w:rPr>
      </w:pPr>
      <w:r>
        <w:rPr>
          <w:bCs/>
          <w:color w:val="000000"/>
          <w:sz w:val="24"/>
          <w:szCs w:val="24"/>
        </w:rPr>
      </w:r>
    </w:p>
    <w:p>
      <w:pPr>
        <w:pStyle w:val="Normal"/>
        <w:spacing w:lineRule="auto" w:line="240" w:before="0" w:after="0"/>
        <w:ind w:left="360" w:hanging="0"/>
        <w:jc w:val="center"/>
        <w:rPr>
          <w:rFonts w:ascii="Times New Roman" w:hAnsi="Times New Roman"/>
          <w:bCs/>
          <w:color w:val="000000"/>
          <w:sz w:val="24"/>
          <w:szCs w:val="24"/>
        </w:rPr>
      </w:pPr>
      <w:r>
        <w:rPr>
          <w:bCs/>
          <w:color w:val="000000"/>
          <w:sz w:val="24"/>
          <w:szCs w:val="24"/>
        </w:rPr>
        <w:t>3. Сведения о выполнении (достижении) мероприятий (результатов) и контрольных точек комплекса процессных мероприятий «</w:t>
      </w:r>
      <w:r>
        <w:rPr>
          <w:rFonts w:eastAsia="" w:cs="Tinos"/>
          <w:b/>
          <w:bCs/>
          <w:i w:val="false"/>
          <w:iCs w:val="false"/>
          <w:caps w:val="false"/>
          <w:smallCaps w:val="false"/>
          <w:color w:val="000000"/>
          <w:spacing w:val="0"/>
          <w:kern w:val="0"/>
          <w:sz w:val="24"/>
          <w:szCs w:val="24"/>
          <w:shd w:fill="auto" w:val="clear"/>
          <w:lang w:val="ru-RU" w:eastAsia="en-US" w:bidi="ar-SA"/>
        </w:rPr>
        <w:t>Создание условий для обеспечения населения качественными услугами жилищно-коммунального хозяйств»</w:t>
      </w:r>
    </w:p>
    <w:p>
      <w:pPr>
        <w:pStyle w:val="Normal"/>
        <w:spacing w:lineRule="auto" w:line="240" w:before="0" w:after="0"/>
        <w:ind w:left="360" w:hanging="0"/>
        <w:jc w:val="center"/>
        <w:rPr>
          <w:rFonts w:ascii="Times New Roman" w:hAnsi="Times New Roman"/>
          <w:bCs/>
          <w:color w:val="000000"/>
          <w:sz w:val="24"/>
          <w:szCs w:val="24"/>
        </w:rPr>
      </w:pPr>
      <w:r>
        <w:rPr>
          <w:bCs/>
          <w:color w:val="000000"/>
          <w:sz w:val="24"/>
          <w:szCs w:val="24"/>
        </w:rPr>
      </w:r>
    </w:p>
    <w:tbl>
      <w:tblPr>
        <w:tblStyle w:val="aa"/>
        <w:tblW w:w="15722" w:type="dxa"/>
        <w:jc w:val="center"/>
        <w:tblInd w:w="0" w:type="dxa"/>
        <w:tblLayout w:type="fixed"/>
        <w:tblCellMar>
          <w:top w:w="55" w:type="dxa"/>
          <w:left w:w="108" w:type="dxa"/>
          <w:bottom w:w="55" w:type="dxa"/>
          <w:right w:w="108" w:type="dxa"/>
        </w:tblCellMar>
        <w:tblLook w:noVBand="1" w:val="04a0" w:noHBand="0" w:lastColumn="0" w:firstColumn="1" w:lastRow="0" w:firstRow="1"/>
      </w:tblPr>
      <w:tblGrid>
        <w:gridCol w:w="517"/>
        <w:gridCol w:w="1611"/>
        <w:gridCol w:w="16"/>
        <w:gridCol w:w="890"/>
        <w:gridCol w:w="17"/>
        <w:gridCol w:w="1415"/>
        <w:gridCol w:w="3"/>
        <w:gridCol w:w="1532"/>
        <w:gridCol w:w="25"/>
        <w:gridCol w:w="1418"/>
        <w:gridCol w:w="27"/>
        <w:gridCol w:w="1305"/>
        <w:gridCol w:w="1"/>
        <w:gridCol w:w="1134"/>
        <w:gridCol w:w="4"/>
        <w:gridCol w:w="1124"/>
        <w:gridCol w:w="5"/>
        <w:gridCol w:w="1134"/>
        <w:gridCol w:w="3"/>
        <w:gridCol w:w="1245"/>
        <w:gridCol w:w="27"/>
        <w:gridCol w:w="993"/>
        <w:gridCol w:w="8"/>
        <w:gridCol w:w="1267"/>
      </w:tblGrid>
      <w:tr>
        <w:trPr>
          <w:tblHeader w:val="true"/>
          <w:trHeight w:val="718" w:hRule="atLeast"/>
        </w:trPr>
        <w:tc>
          <w:tcPr>
            <w:tcW w:w="517"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 xml:space="preserve">№ </w:t>
            </w:r>
            <w:r>
              <w:rPr>
                <w:rFonts w:eastAsia="" w:cs="Times New Roman"/>
                <w:b/>
                <w:kern w:val="0"/>
                <w:sz w:val="16"/>
                <w:szCs w:val="20"/>
                <w:lang w:val="ru-RU" w:eastAsia="en-US" w:bidi="ar-SA"/>
              </w:rPr>
              <w:t>п/п</w:t>
            </w:r>
          </w:p>
        </w:tc>
        <w:tc>
          <w:tcPr>
            <w:tcW w:w="1611"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Наименование мероприятия (результата) / контрольной точки</w:t>
            </w:r>
          </w:p>
        </w:tc>
        <w:tc>
          <w:tcPr>
            <w:tcW w:w="906" w:type="dxa"/>
            <w:gridSpan w:val="2"/>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jc w:val="center"/>
              <w:rPr>
                <w:rFonts w:ascii="Times New Roman" w:hAnsi="Times New Roman"/>
                <w:b/>
                <w:color w:val="000000"/>
                <w:sz w:val="16"/>
                <w:szCs w:val="16"/>
              </w:rPr>
            </w:pPr>
            <w:r>
              <w:rPr>
                <w:rFonts w:eastAsia="" w:cs="Times New Roman"/>
                <w:b/>
                <w:kern w:val="0"/>
                <w:sz w:val="16"/>
                <w:szCs w:val="20"/>
                <w:lang w:val="ru-RU" w:eastAsia="en-US" w:bidi="ar-SA"/>
              </w:rPr>
              <w:t xml:space="preserve">Единица измерения </w:t>
              <w:br/>
              <w:t>(по ОКЕИ)</w:t>
            </w:r>
          </w:p>
        </w:tc>
        <w:tc>
          <w:tcPr>
            <w:tcW w:w="1432" w:type="dxa"/>
            <w:gridSpan w:val="2"/>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Плановое значение на конец отчетного периода</w:t>
            </w:r>
          </w:p>
        </w:tc>
        <w:tc>
          <w:tcPr>
            <w:tcW w:w="1560" w:type="dxa"/>
            <w:gridSpan w:val="3"/>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Фактическое значение на конец отчетного периода</w:t>
            </w:r>
          </w:p>
        </w:tc>
        <w:tc>
          <w:tcPr>
            <w:tcW w:w="1418"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Прогнозное значение на конец отчетного периода</w:t>
            </w:r>
          </w:p>
        </w:tc>
        <w:tc>
          <w:tcPr>
            <w:tcW w:w="1333" w:type="dxa"/>
            <w:gridSpan w:val="3"/>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Плановое значение на конец текущего года</w:t>
            </w:r>
            <w:r>
              <w:rPr>
                <w:rStyle w:val="Style18"/>
                <w:rFonts w:eastAsia="" w:cs="Times New Roman"/>
                <w:b/>
                <w:kern w:val="0"/>
                <w:sz w:val="16"/>
                <w:szCs w:val="20"/>
                <w:lang w:val="ru-RU" w:eastAsia="en-US" w:bidi="ar-SA"/>
              </w:rPr>
              <w:footnoteReference w:id="18"/>
            </w:r>
          </w:p>
        </w:tc>
        <w:tc>
          <w:tcPr>
            <w:tcW w:w="1134"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Плановая дата наступления контрольной точки</w:t>
            </w:r>
          </w:p>
        </w:tc>
        <w:tc>
          <w:tcPr>
            <w:tcW w:w="1133" w:type="dxa"/>
            <w:gridSpan w:val="3"/>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Фактическая дата наступления контрольной точки</w:t>
            </w:r>
            <w:r>
              <w:rPr>
                <w:rStyle w:val="Style18"/>
                <w:rFonts w:eastAsia="" w:cs="Times New Roman"/>
                <w:b/>
                <w:kern w:val="0"/>
                <w:sz w:val="16"/>
                <w:szCs w:val="20"/>
                <w:lang w:val="ru-RU" w:eastAsia="en-US" w:bidi="ar-SA"/>
              </w:rPr>
              <w:footnoteReference w:id="19"/>
            </w:r>
          </w:p>
        </w:tc>
        <w:tc>
          <w:tcPr>
            <w:tcW w:w="1134"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Прогнозная дата наступления контрольной точки</w:t>
            </w:r>
            <w:r>
              <w:rPr>
                <w:rFonts w:eastAsia="" w:cs="Times New Roman"/>
                <w:b/>
                <w:kern w:val="0"/>
                <w:sz w:val="16"/>
                <w:szCs w:val="20"/>
                <w:vertAlign w:val="superscript"/>
                <w:lang w:val="ru-RU" w:eastAsia="en-US" w:bidi="ar-SA"/>
              </w:rPr>
              <w:t>43</w:t>
            </w:r>
          </w:p>
        </w:tc>
        <w:tc>
          <w:tcPr>
            <w:tcW w:w="1275" w:type="dxa"/>
            <w:gridSpan w:val="3"/>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Ответственный исполнитель (Фамилия И.О., должность)</w:t>
            </w:r>
          </w:p>
        </w:tc>
        <w:tc>
          <w:tcPr>
            <w:tcW w:w="993" w:type="dxa"/>
            <w:tcBorders>
              <w:top w:val="single" w:sz="4" w:space="0" w:color="000000"/>
              <w:left w:val="single" w:sz="4" w:space="0" w:color="000000"/>
              <w:bottom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Подтверж-</w:t>
            </w:r>
          </w:p>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дающий документ</w:t>
            </w:r>
            <w:r>
              <w:rPr>
                <w:rStyle w:val="Style18"/>
                <w:rFonts w:eastAsia="" w:cs="Times New Roman"/>
                <w:b/>
                <w:kern w:val="0"/>
                <w:sz w:val="16"/>
                <w:szCs w:val="20"/>
                <w:lang w:val="ru-RU" w:eastAsia="en-US" w:bidi="ar-SA"/>
              </w:rPr>
              <w:footnoteReference w:id="20"/>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Комментарий</w:t>
            </w:r>
            <w:r>
              <w:rPr>
                <w:rStyle w:val="Style18"/>
                <w:rFonts w:eastAsia="" w:cs="Times New Roman"/>
                <w:b/>
                <w:kern w:val="0"/>
                <w:sz w:val="16"/>
                <w:szCs w:val="20"/>
                <w:lang w:val="ru-RU" w:eastAsia="en-US" w:bidi="ar-SA"/>
              </w:rPr>
              <w:footnoteReference w:id="21"/>
            </w:r>
          </w:p>
        </w:tc>
      </w:tr>
      <w:tr>
        <w:trPr>
          <w:tblHeader w:val="true"/>
          <w:trHeight w:val="50"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1</w:t>
            </w:r>
          </w:p>
        </w:tc>
        <w:tc>
          <w:tcPr>
            <w:tcW w:w="1611"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2</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3</w:t>
            </w:r>
          </w:p>
        </w:tc>
        <w:tc>
          <w:tcPr>
            <w:tcW w:w="1432" w:type="dxa"/>
            <w:gridSpan w:val="2"/>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4</w:t>
            </w:r>
          </w:p>
        </w:tc>
        <w:tc>
          <w:tcPr>
            <w:tcW w:w="1560" w:type="dxa"/>
            <w:gridSpan w:val="3"/>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5</w:t>
            </w:r>
          </w:p>
        </w:tc>
        <w:tc>
          <w:tcPr>
            <w:tcW w:w="1418"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6</w:t>
            </w:r>
          </w:p>
        </w:tc>
        <w:tc>
          <w:tcPr>
            <w:tcW w:w="1333" w:type="dxa"/>
            <w:gridSpan w:val="3"/>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7</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8</w:t>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9</w:t>
            </w:r>
          </w:p>
        </w:tc>
        <w:tc>
          <w:tcPr>
            <w:tcW w:w="1134"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10</w:t>
            </w:r>
          </w:p>
        </w:tc>
        <w:tc>
          <w:tcPr>
            <w:tcW w:w="1275" w:type="dxa"/>
            <w:gridSpan w:val="3"/>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11</w:t>
            </w:r>
          </w:p>
        </w:tc>
        <w:tc>
          <w:tcPr>
            <w:tcW w:w="993"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12</w:t>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b/>
                <w:sz w:val="16"/>
                <w:szCs w:val="20"/>
              </w:rPr>
            </w:pPr>
            <w:r>
              <w:rPr>
                <w:rFonts w:eastAsia="" w:cs="Times New Roman"/>
                <w:b/>
                <w:kern w:val="0"/>
                <w:sz w:val="16"/>
                <w:szCs w:val="20"/>
                <w:lang w:val="ru-RU" w:eastAsia="en-US" w:bidi="ar-SA"/>
              </w:rPr>
              <w:t>13</w:t>
            </w:r>
          </w:p>
        </w:tc>
      </w:tr>
      <w:tr>
        <w:trPr>
          <w:trHeight w:val="50" w:hRule="atLeast"/>
        </w:trPr>
        <w:tc>
          <w:tcPr>
            <w:tcW w:w="517"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1</w:t>
            </w:r>
          </w:p>
        </w:tc>
        <w:tc>
          <w:tcPr>
            <w:tcW w:w="15204" w:type="dxa"/>
            <w:gridSpan w:val="23"/>
            <w:tcBorders>
              <w:left w:val="single" w:sz="4" w:space="0" w:color="000000"/>
              <w:bottom w:val="single" w:sz="4" w:space="0" w:color="000000"/>
              <w:right w:val="single" w:sz="4" w:space="0" w:color="000000"/>
            </w:tcBorders>
          </w:tcPr>
          <w:p>
            <w:pPr>
              <w:pStyle w:val="Normal"/>
              <w:widowControl w:val="false"/>
              <w:spacing w:lineRule="auto" w:line="240" w:before="0" w:after="0"/>
              <w:rPr>
                <w:sz w:val="16"/>
                <w:szCs w:val="16"/>
              </w:rPr>
            </w:pPr>
            <w:r>
              <w:rPr>
                <w:rFonts w:cs="Tinos"/>
                <w:b/>
                <w:bCs/>
                <w:i w:val="false"/>
                <w:caps w:val="false"/>
                <w:smallCaps w:val="false"/>
                <w:color w:val="111111"/>
                <w:spacing w:val="0"/>
                <w:kern w:val="0"/>
                <w:sz w:val="16"/>
                <w:szCs w:val="16"/>
                <w:u w:val="none" w:color="000000"/>
                <w:lang w:val="ru-RU" w:bidi="ar-SA"/>
              </w:rPr>
              <w:t>Повышение надежности и эффективности установок наружного освещения</w:t>
            </w:r>
          </w:p>
        </w:tc>
      </w:tr>
      <w:tr>
        <w:trPr>
          <w:trHeight w:val="433" w:hRule="atLeast"/>
        </w:trPr>
        <w:tc>
          <w:tcPr>
            <w:tcW w:w="517"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1.1</w:t>
            </w:r>
          </w:p>
        </w:tc>
        <w:tc>
          <w:tcPr>
            <w:tcW w:w="1611"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left"/>
              <w:rPr>
                <w:sz w:val="16"/>
                <w:szCs w:val="16"/>
              </w:rPr>
            </w:pPr>
            <w:r>
              <w:rPr>
                <w:rFonts w:eastAsia="" w:cs="Times New Roman"/>
                <w:kern w:val="0"/>
                <w:sz w:val="16"/>
                <w:szCs w:val="16"/>
                <w:lang w:val="ru-RU" w:eastAsia="en-US" w:bidi="ar-SA"/>
              </w:rPr>
              <w:t xml:space="preserve">Мероприятие (результат) </w:t>
            </w:r>
            <w:r>
              <w:rPr>
                <w:rFonts w:eastAsia="" w:cs="Tinos"/>
                <w:kern w:val="0"/>
                <w:sz w:val="16"/>
                <w:szCs w:val="16"/>
                <w:lang w:val="ru-RU" w:eastAsia="en-US" w:bidi="ar-SA"/>
              </w:rPr>
              <w:t xml:space="preserve"> «Созданы условия для обеспечения населения качественными услугами жилищно-коммунального хозяйства»</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t>Тыс.руб.</w:t>
            </w:r>
          </w:p>
        </w:tc>
        <w:tc>
          <w:tcPr>
            <w:tcW w:w="1432" w:type="dxa"/>
            <w:gridSpan w:val="2"/>
            <w:tcBorders>
              <w:left w:val="single" w:sz="4" w:space="0" w:color="000000"/>
              <w:bottom w:val="single" w:sz="4" w:space="0" w:color="000000"/>
            </w:tcBorders>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28485</w:t>
            </w:r>
          </w:p>
        </w:tc>
        <w:tc>
          <w:tcPr>
            <w:tcW w:w="1560" w:type="dxa"/>
            <w:gridSpan w:val="3"/>
            <w:tcBorders>
              <w:left w:val="single" w:sz="4" w:space="0" w:color="000000"/>
              <w:bottom w:val="single" w:sz="4" w:space="0" w:color="000000"/>
            </w:tcBorders>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28466,960</w:t>
            </w:r>
          </w:p>
        </w:tc>
        <w:tc>
          <w:tcPr>
            <w:tcW w:w="1418" w:type="dxa"/>
            <w:tcBorders>
              <w:left w:val="single" w:sz="4" w:space="0" w:color="000000"/>
              <w:bottom w:val="single" w:sz="4" w:space="0" w:color="000000"/>
            </w:tcBorders>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28485</w:t>
            </w:r>
          </w:p>
        </w:tc>
        <w:tc>
          <w:tcPr>
            <w:tcW w:w="1333" w:type="dxa"/>
            <w:gridSpan w:val="3"/>
            <w:tcBorders>
              <w:left w:val="single" w:sz="4" w:space="0" w:color="000000"/>
              <w:bottom w:val="single" w:sz="4" w:space="0" w:color="000000"/>
            </w:tcBorders>
          </w:tcPr>
          <w:p>
            <w:pPr>
              <w:pStyle w:val="Normal"/>
              <w:widowControl w:val="false"/>
              <w:spacing w:lineRule="auto" w:line="240" w:before="0" w:after="0"/>
              <w:ind w:left="-57" w:right="-57" w:hanging="0"/>
              <w:jc w:val="center"/>
              <w:rPr>
                <w:rFonts w:ascii="Times New Roman" w:hAnsi="Times New Roman"/>
                <w:sz w:val="16"/>
                <w:szCs w:val="16"/>
              </w:rPr>
            </w:pPr>
            <w:r>
              <w:rPr>
                <w:sz w:val="16"/>
                <w:szCs w:val="16"/>
              </w:rPr>
              <w:t>28485</w:t>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21.11.25</w:t>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21.11.25</w:t>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21.11.25</w:t>
            </w:r>
          </w:p>
        </w:tc>
        <w:tc>
          <w:tcPr>
            <w:tcW w:w="1275" w:type="dxa"/>
            <w:gridSpan w:val="3"/>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both"/>
              <w:rPr>
                <w:rFonts w:ascii="Times New Roman" w:hAnsi="Times New Roman"/>
              </w:rPr>
            </w:pPr>
            <w:r>
              <w:rPr>
                <w:rFonts w:cs="Tinos"/>
                <w:kern w:val="0"/>
                <w:sz w:val="16"/>
                <w:szCs w:val="16"/>
                <w:highlight w:val="white"/>
                <w:shd w:fill="FFD821" w:val="clear"/>
                <w:lang w:val="ru-RU" w:bidi="ar-SA"/>
              </w:rPr>
              <w:t>Коровин В.Ю. -  заместитель главы администрации района по обеспечению жизнедеятельности района</w:t>
            </w:r>
          </w:p>
        </w:tc>
        <w:tc>
          <w:tcPr>
            <w:tcW w:w="99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szCs w:val="16"/>
                <w:lang w:val="ru-RU" w:bidi="ar-SA"/>
              </w:rPr>
              <w:t xml:space="preserve">Итоговый отчет </w:t>
              <w:br/>
              <w:t>о реализации</w:t>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r>
      <w:tr>
        <w:trPr>
          <w:trHeight w:val="433"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57" w:right="-57" w:hanging="0"/>
              <w:contextualSpacing/>
              <w:jc w:val="center"/>
              <w:rPr>
                <w:rFonts w:ascii="Times New Roman" w:hAnsi="Times New Roman"/>
                <w:sz w:val="16"/>
                <w:szCs w:val="20"/>
              </w:rPr>
            </w:pPr>
            <w:r>
              <w:rPr>
                <w:rFonts w:eastAsia="" w:cs="Times New Roman"/>
                <w:kern w:val="0"/>
                <w:sz w:val="16"/>
                <w:szCs w:val="20"/>
                <w:lang w:val="ru-RU" w:eastAsia="en-US" w:bidi="ar-SA"/>
              </w:rPr>
              <w:t>1.1.1</w:t>
            </w:r>
          </w:p>
        </w:tc>
        <w:tc>
          <w:tcPr>
            <w:tcW w:w="1611"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left"/>
              <w:rPr>
                <w:sz w:val="16"/>
                <w:szCs w:val="16"/>
              </w:rPr>
            </w:pPr>
            <w:r>
              <w:rPr>
                <w:rFonts w:cs="Tinos"/>
                <w:kern w:val="0"/>
                <w:sz w:val="16"/>
                <w:szCs w:val="16"/>
                <w:lang w:val="ru-RU" w:bidi="ar-SA"/>
              </w:rPr>
              <w:t>Контрольная точка «Утверждены (одобрены, сформированы) документы, необходимые для оказания услуги (выполнения работы)»</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t>х</w:t>
            </w:r>
          </w:p>
        </w:tc>
        <w:tc>
          <w:tcPr>
            <w:tcW w:w="1432"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560"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418"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3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275"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99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szCs w:val="16"/>
                <w:lang w:val="ru-RU" w:bidi="ar-SA"/>
              </w:rPr>
              <w:t>Проектно-сметная документация</w:t>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r>
      <w:tr>
        <w:trPr>
          <w:trHeight w:val="167"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113" w:right="-113" w:hanging="0"/>
              <w:contextualSpacing/>
              <w:jc w:val="center"/>
              <w:rPr>
                <w:rFonts w:ascii="Times New Roman" w:hAnsi="Times New Roman"/>
                <w:sz w:val="16"/>
                <w:szCs w:val="20"/>
              </w:rPr>
            </w:pPr>
            <w:r>
              <w:rPr>
                <w:rFonts w:eastAsia="" w:cs="Times New Roman"/>
                <w:kern w:val="0"/>
                <w:sz w:val="16"/>
                <w:szCs w:val="20"/>
                <w:lang w:val="ru-RU" w:eastAsia="en-US" w:bidi="ar-SA"/>
              </w:rPr>
              <w:t>1.1.2</w:t>
            </w:r>
          </w:p>
        </w:tc>
        <w:tc>
          <w:tcPr>
            <w:tcW w:w="1611"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left"/>
              <w:rPr>
                <w:sz w:val="16"/>
                <w:szCs w:val="16"/>
              </w:rPr>
            </w:pPr>
            <w:r>
              <w:rPr>
                <w:rFonts w:cs="Tinos"/>
                <w:kern w:val="0"/>
                <w:sz w:val="16"/>
                <w:szCs w:val="16"/>
                <w:lang w:val="ru-RU" w:bidi="ar-SA"/>
              </w:rPr>
              <w:t>Контрольная точка «Сформирован отчет для мониторинга процесса заключения договоров»</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t>х</w:t>
            </w:r>
          </w:p>
        </w:tc>
        <w:tc>
          <w:tcPr>
            <w:tcW w:w="1432"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w:t>
            </w:r>
          </w:p>
        </w:tc>
        <w:tc>
          <w:tcPr>
            <w:tcW w:w="1560"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w:t>
            </w:r>
          </w:p>
        </w:tc>
        <w:tc>
          <w:tcPr>
            <w:tcW w:w="1418"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w:t>
            </w:r>
          </w:p>
        </w:tc>
        <w:tc>
          <w:tcPr>
            <w:tcW w:w="13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rFonts w:eastAsia="" w:cs="Times New Roman"/>
                <w:kern w:val="0"/>
                <w:sz w:val="16"/>
                <w:szCs w:val="20"/>
                <w:lang w:val="ru-RU" w:eastAsia="en-US" w:bidi="ar-SA"/>
              </w:rPr>
              <w:t>-</w:t>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275"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99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szCs w:val="16"/>
                <w:lang w:val="ru-RU" w:bidi="ar-SA"/>
              </w:rPr>
              <w:t>Мониторинг</w:t>
            </w:r>
          </w:p>
          <w:p>
            <w:pPr>
              <w:pStyle w:val="Normal"/>
              <w:widowControl w:val="false"/>
              <w:tabs>
                <w:tab w:val="clear" w:pos="708"/>
                <w:tab w:val="left" w:pos="1853" w:leader="none"/>
              </w:tabs>
              <w:suppressAutoHyphens w:val="true"/>
              <w:spacing w:lineRule="atLeast" w:line="0" w:before="0" w:after="0"/>
              <w:jc w:val="center"/>
              <w:rPr>
                <w:rFonts w:ascii="Times New Roman" w:hAnsi="Times New Roman" w:cs="Tinos"/>
              </w:rPr>
            </w:pPr>
            <w:r>
              <w:rPr>
                <w:rFonts w:cs="Tinos"/>
              </w:rPr>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r>
      <w:tr>
        <w:trPr>
          <w:trHeight w:val="167"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113" w:right="-113" w:hanging="0"/>
              <w:contextualSpacing/>
              <w:jc w:val="center"/>
              <w:rPr>
                <w:rFonts w:ascii="Times New Roman" w:hAnsi="Times New Roman"/>
                <w:sz w:val="16"/>
                <w:szCs w:val="20"/>
              </w:rPr>
            </w:pPr>
            <w:r>
              <w:rPr>
                <w:sz w:val="16"/>
                <w:szCs w:val="20"/>
              </w:rPr>
              <w:t>1.1.3</w:t>
            </w:r>
          </w:p>
        </w:tc>
        <w:tc>
          <w:tcPr>
            <w:tcW w:w="1611"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left"/>
              <w:rPr>
                <w:sz w:val="16"/>
                <w:szCs w:val="16"/>
              </w:rPr>
            </w:pPr>
            <w:r>
              <w:rPr>
                <w:rFonts w:cs="Tinos"/>
                <w:kern w:val="0"/>
                <w:sz w:val="16"/>
                <w:szCs w:val="16"/>
                <w:lang w:val="ru-RU" w:bidi="ar-SA"/>
              </w:rPr>
              <w:t>Контрольная точка «Заключены договора»</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t>х</w:t>
            </w:r>
          </w:p>
        </w:tc>
        <w:tc>
          <w:tcPr>
            <w:tcW w:w="1432"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560"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418"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3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275"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99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szCs w:val="16"/>
                <w:lang w:val="ru-RU" w:bidi="ar-SA"/>
              </w:rPr>
              <w:t>Договор</w:t>
            </w:r>
          </w:p>
          <w:p>
            <w:pPr>
              <w:pStyle w:val="Normal"/>
              <w:widowControl w:val="false"/>
              <w:tabs>
                <w:tab w:val="clear" w:pos="708"/>
                <w:tab w:val="left" w:pos="1853" w:leader="none"/>
              </w:tabs>
              <w:suppressAutoHyphens w:val="true"/>
              <w:spacing w:lineRule="atLeast" w:line="0" w:before="0" w:after="0"/>
              <w:jc w:val="center"/>
              <w:rPr>
                <w:rFonts w:ascii="Times New Roman" w:hAnsi="Times New Roman" w:cs="Tinos"/>
              </w:rPr>
            </w:pPr>
            <w:r>
              <w:rPr>
                <w:rFonts w:cs="Tinos"/>
              </w:rPr>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r>
      <w:tr>
        <w:trPr>
          <w:trHeight w:val="167"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113" w:right="-113" w:hanging="0"/>
              <w:contextualSpacing/>
              <w:jc w:val="center"/>
              <w:rPr>
                <w:rFonts w:ascii="Times New Roman" w:hAnsi="Times New Roman"/>
                <w:sz w:val="16"/>
                <w:szCs w:val="20"/>
              </w:rPr>
            </w:pPr>
            <w:r>
              <w:rPr>
                <w:sz w:val="16"/>
                <w:szCs w:val="20"/>
              </w:rPr>
              <w:t>1.1.4</w:t>
            </w:r>
          </w:p>
        </w:tc>
        <w:tc>
          <w:tcPr>
            <w:tcW w:w="1611"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left"/>
              <w:rPr>
                <w:sz w:val="16"/>
                <w:szCs w:val="16"/>
              </w:rPr>
            </w:pPr>
            <w:r>
              <w:rPr>
                <w:rFonts w:cs="Tinos"/>
                <w:kern w:val="0"/>
                <w:sz w:val="16"/>
                <w:szCs w:val="16"/>
                <w:lang w:val="ru-RU" w:bidi="ar-SA"/>
              </w:rPr>
              <w:t>Контрольная точка «Услуга оказана (работы выполнены)</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t>х</w:t>
            </w:r>
          </w:p>
        </w:tc>
        <w:tc>
          <w:tcPr>
            <w:tcW w:w="1432"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560"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418"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3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275"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99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szCs w:val="16"/>
                <w:lang w:val="ru-RU" w:bidi="ar-SA"/>
              </w:rPr>
              <w:t>Акты выполненных работ</w:t>
            </w:r>
          </w:p>
          <w:p>
            <w:pPr>
              <w:pStyle w:val="Normal"/>
              <w:widowControl w:val="false"/>
              <w:tabs>
                <w:tab w:val="clear" w:pos="708"/>
                <w:tab w:val="left" w:pos="1853" w:leader="none"/>
              </w:tabs>
              <w:suppressAutoHyphens w:val="true"/>
              <w:spacing w:lineRule="atLeast" w:line="0" w:before="0" w:after="0"/>
              <w:jc w:val="center"/>
              <w:rPr>
                <w:rFonts w:ascii="Times New Roman" w:hAnsi="Times New Roman" w:cs="Tinos"/>
              </w:rPr>
            </w:pPr>
            <w:r>
              <w:rPr>
                <w:rFonts w:cs="Tinos"/>
              </w:rPr>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r>
      <w:tr>
        <w:trPr>
          <w:trHeight w:val="167"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113" w:right="-113" w:hanging="0"/>
              <w:contextualSpacing/>
              <w:jc w:val="center"/>
              <w:rPr>
                <w:rFonts w:ascii="Times New Roman" w:hAnsi="Times New Roman"/>
                <w:sz w:val="16"/>
                <w:szCs w:val="20"/>
              </w:rPr>
            </w:pPr>
            <w:r>
              <w:rPr>
                <w:sz w:val="16"/>
                <w:szCs w:val="20"/>
              </w:rPr>
              <w:t>1.1.5</w:t>
            </w:r>
          </w:p>
        </w:tc>
        <w:tc>
          <w:tcPr>
            <w:tcW w:w="1611" w:type="dxa"/>
            <w:tcBorders>
              <w:left w:val="single" w:sz="4" w:space="0" w:color="000000"/>
              <w:bottom w:val="single" w:sz="4" w:space="0" w:color="000000"/>
            </w:tcBorders>
          </w:tcPr>
          <w:p>
            <w:pPr>
              <w:pStyle w:val="Normal"/>
              <w:widowControl w:val="false"/>
              <w:suppressAutoHyphens w:val="true"/>
              <w:spacing w:lineRule="auto" w:line="240" w:before="0" w:after="0"/>
              <w:ind w:left="0" w:right="0" w:hanging="0"/>
              <w:jc w:val="left"/>
              <w:rPr>
                <w:sz w:val="16"/>
                <w:szCs w:val="16"/>
              </w:rPr>
            </w:pPr>
            <w:r>
              <w:rPr>
                <w:rFonts w:cs="Tinos"/>
                <w:kern w:val="0"/>
                <w:sz w:val="16"/>
                <w:szCs w:val="16"/>
                <w:lang w:val="ru-RU" w:bidi="ar-SA"/>
              </w:rPr>
              <w:t>Контрольная точка «Реализация мероприятий завершена»</w:t>
            </w:r>
          </w:p>
        </w:tc>
        <w:tc>
          <w:tcPr>
            <w:tcW w:w="906"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t>х</w:t>
            </w:r>
          </w:p>
        </w:tc>
        <w:tc>
          <w:tcPr>
            <w:tcW w:w="1432"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560"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418"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3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3"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134" w:type="dxa"/>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1275" w:type="dxa"/>
            <w:gridSpan w:val="3"/>
            <w:tcBorders>
              <w:left w:val="single" w:sz="4" w:space="0" w:color="000000"/>
              <w:bottom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c>
          <w:tcPr>
            <w:tcW w:w="993"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szCs w:val="16"/>
                <w:lang w:val="ru-RU" w:bidi="ar-SA"/>
              </w:rPr>
              <w:t>Письмо</w:t>
            </w:r>
          </w:p>
          <w:p>
            <w:pPr>
              <w:pStyle w:val="Normal"/>
              <w:widowControl w:val="false"/>
              <w:tabs>
                <w:tab w:val="clear" w:pos="708"/>
                <w:tab w:val="left" w:pos="1853" w:leader="none"/>
              </w:tabs>
              <w:suppressAutoHyphens w:val="true"/>
              <w:spacing w:lineRule="atLeast" w:line="0" w:before="0" w:after="0"/>
              <w:jc w:val="both"/>
              <w:rPr>
                <w:rFonts w:ascii="Times New Roman" w:hAnsi="Times New Roman" w:cs="Tinos"/>
                <w:sz w:val="16"/>
                <w:szCs w:val="16"/>
              </w:rPr>
            </w:pPr>
            <w:r>
              <w:rPr>
                <w:rFonts w:cs="Tinos"/>
                <w:sz w:val="16"/>
                <w:szCs w:val="16"/>
              </w:rPr>
            </w:r>
          </w:p>
        </w:tc>
        <w:tc>
          <w:tcPr>
            <w:tcW w:w="1275" w:type="dxa"/>
            <w:gridSpan w:val="2"/>
            <w:tcBorders>
              <w:left w:val="single" w:sz="4" w:space="0" w:color="000000"/>
              <w:bottom w:val="single" w:sz="4" w:space="0" w:color="000000"/>
              <w:right w:val="single" w:sz="4" w:space="0" w:color="000000"/>
            </w:tcBorders>
          </w:tcPr>
          <w:p>
            <w:pPr>
              <w:pStyle w:val="Normal"/>
              <w:widowControl w:val="false"/>
              <w:suppressAutoHyphens w:val="true"/>
              <w:spacing w:lineRule="auto" w:line="276" w:before="0" w:after="0"/>
              <w:contextualSpacing/>
              <w:jc w:val="center"/>
              <w:rPr>
                <w:rFonts w:ascii="Times New Roman" w:hAnsi="Times New Roman"/>
                <w:sz w:val="16"/>
                <w:szCs w:val="20"/>
              </w:rPr>
            </w:pPr>
            <w:r>
              <w:rPr>
                <w:sz w:val="16"/>
                <w:szCs w:val="20"/>
              </w:rPr>
            </w:r>
          </w:p>
        </w:tc>
      </w:tr>
      <w:tr>
        <w:trPr>
          <w:trHeight w:val="167"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113" w:right="-113" w:hanging="0"/>
              <w:contextualSpacing/>
              <w:jc w:val="center"/>
              <w:rPr>
                <w:rFonts w:ascii="Times New Roman" w:hAnsi="Times New Roman"/>
                <w:sz w:val="16"/>
                <w:szCs w:val="20"/>
              </w:rPr>
            </w:pPr>
            <w:r>
              <w:rPr>
                <w:sz w:val="16"/>
                <w:szCs w:val="20"/>
              </w:rPr>
              <w:t>2</w:t>
            </w:r>
          </w:p>
        </w:tc>
        <w:tc>
          <w:tcPr>
            <w:tcW w:w="15204" w:type="dxa"/>
            <w:gridSpan w:val="23"/>
            <w:tcBorders>
              <w:left w:val="single" w:sz="4" w:space="0" w:color="000000"/>
              <w:bottom w:val="single" w:sz="4" w:space="0" w:color="000000"/>
              <w:right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both"/>
              <w:rPr>
                <w:sz w:val="16"/>
                <w:szCs w:val="16"/>
              </w:rPr>
            </w:pPr>
            <w:r>
              <w:rPr>
                <w:b/>
                <w:i w:val="false"/>
                <w:caps w:val="false"/>
                <w:smallCaps w:val="false"/>
                <w:color w:val="111111"/>
                <w:spacing w:val="0"/>
                <w:sz w:val="16"/>
                <w:szCs w:val="16"/>
              </w:rPr>
              <w:t>Обеспечение гарантий погребения умерших (погибших), не имеющих супруга, близких родственников, иных родственников либо законного представителя умершего</w:t>
            </w:r>
          </w:p>
        </w:tc>
      </w:tr>
      <w:tr>
        <w:trPr>
          <w:trHeight w:val="167" w:hRule="atLeast"/>
        </w:trPr>
        <w:tc>
          <w:tcPr>
            <w:tcW w:w="517" w:type="dxa"/>
            <w:tcBorders>
              <w:left w:val="single" w:sz="4" w:space="0" w:color="000000"/>
              <w:bottom w:val="single" w:sz="4" w:space="0" w:color="000000"/>
            </w:tcBorders>
          </w:tcPr>
          <w:p>
            <w:pPr>
              <w:pStyle w:val="Normal"/>
              <w:widowControl w:val="false"/>
              <w:suppressAutoHyphens w:val="true"/>
              <w:spacing w:lineRule="auto" w:line="240" w:before="0" w:after="0"/>
              <w:ind w:left="-113" w:right="-113" w:hanging="0"/>
              <w:contextualSpacing/>
              <w:jc w:val="center"/>
              <w:rPr>
                <w:rFonts w:ascii="Times New Roman" w:hAnsi="Times New Roman"/>
                <w:sz w:val="16"/>
                <w:szCs w:val="20"/>
              </w:rPr>
            </w:pPr>
            <w:r>
              <w:rPr>
                <w:sz w:val="16"/>
                <w:szCs w:val="20"/>
              </w:rPr>
              <w:t>2.1</w:t>
            </w:r>
          </w:p>
        </w:tc>
        <w:tc>
          <w:tcPr>
            <w:tcW w:w="1627" w:type="dxa"/>
            <w:gridSpan w:val="2"/>
            <w:tcBorders>
              <w:left w:val="single" w:sz="4" w:space="0" w:color="000000"/>
              <w:bottom w:val="single" w:sz="4" w:space="0" w:color="000000"/>
            </w:tcBorders>
          </w:tcPr>
          <w:p>
            <w:pPr>
              <w:pStyle w:val="Normal"/>
              <w:widowControl w:val="false"/>
              <w:suppressAutoHyphens w:val="true"/>
              <w:spacing w:lineRule="auto" w:line="276" w:before="0" w:after="0"/>
              <w:contextualSpacing/>
              <w:jc w:val="left"/>
              <w:rPr>
                <w:sz w:val="16"/>
                <w:szCs w:val="16"/>
              </w:rPr>
            </w:pPr>
            <w:r>
              <w:rPr>
                <w:rFonts w:eastAsia="" w:cs="Times New Roman"/>
                <w:kern w:val="0"/>
                <w:sz w:val="16"/>
                <w:szCs w:val="16"/>
                <w:lang w:val="ru-RU" w:eastAsia="en-US" w:bidi="ar-SA"/>
              </w:rPr>
              <w:t xml:space="preserve">Мероприятие (результат) </w:t>
            </w:r>
            <w:r>
              <w:rPr>
                <w:rFonts w:eastAsia="" w:cs="Tinos"/>
                <w:kern w:val="0"/>
                <w:sz w:val="16"/>
                <w:szCs w:val="16"/>
                <w:lang w:val="ru-RU" w:eastAsia="en-US" w:bidi="ar-SA"/>
              </w:rPr>
              <w:t xml:space="preserve"> «Созданы условия для обеспечения населения качественными услугами жилищно-коммунального хозяйства»</w:t>
            </w:r>
          </w:p>
        </w:tc>
        <w:tc>
          <w:tcPr>
            <w:tcW w:w="907" w:type="dxa"/>
            <w:gridSpan w:val="2"/>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both"/>
              <w:rPr>
                <w:sz w:val="16"/>
                <w:szCs w:val="16"/>
              </w:rPr>
            </w:pPr>
            <w:r>
              <w:rPr>
                <w:sz w:val="16"/>
                <w:szCs w:val="16"/>
              </w:rPr>
              <w:t>Тыс.руб.</w:t>
            </w:r>
          </w:p>
        </w:tc>
        <w:tc>
          <w:tcPr>
            <w:tcW w:w="1418" w:type="dxa"/>
            <w:gridSpan w:val="2"/>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17,000</w:t>
            </w:r>
          </w:p>
        </w:tc>
        <w:tc>
          <w:tcPr>
            <w:tcW w:w="1532"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0</w:t>
            </w:r>
          </w:p>
        </w:tc>
        <w:tc>
          <w:tcPr>
            <w:tcW w:w="1470" w:type="dxa"/>
            <w:gridSpan w:val="3"/>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17,000</w:t>
            </w:r>
          </w:p>
        </w:tc>
        <w:tc>
          <w:tcPr>
            <w:tcW w:w="1305"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17,000</w:t>
            </w:r>
          </w:p>
        </w:tc>
        <w:tc>
          <w:tcPr>
            <w:tcW w:w="1139" w:type="dxa"/>
            <w:gridSpan w:val="3"/>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25.12.2025</w:t>
            </w:r>
          </w:p>
        </w:tc>
        <w:tc>
          <w:tcPr>
            <w:tcW w:w="1124"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w:t>
            </w:r>
          </w:p>
        </w:tc>
        <w:tc>
          <w:tcPr>
            <w:tcW w:w="1142" w:type="dxa"/>
            <w:gridSpan w:val="3"/>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sz w:val="16"/>
                <w:szCs w:val="16"/>
              </w:rPr>
              <w:t>25.12.2025</w:t>
            </w:r>
          </w:p>
        </w:tc>
        <w:tc>
          <w:tcPr>
            <w:tcW w:w="1245"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both"/>
              <w:rPr>
                <w:rFonts w:ascii="Times New Roman" w:hAnsi="Times New Roman"/>
              </w:rPr>
            </w:pPr>
            <w:r>
              <w:rPr>
                <w:rFonts w:cs="Tinos"/>
                <w:kern w:val="0"/>
                <w:sz w:val="16"/>
                <w:highlight w:val="white"/>
                <w:shd w:fill="FFD821" w:val="clear"/>
                <w:lang w:val="ru-RU" w:bidi="ar-SA"/>
              </w:rPr>
              <w:t>Коровин В.Ю. -  заместитель главы администрации района по обеспечению жизнедеятельности района</w:t>
            </w:r>
          </w:p>
        </w:tc>
        <w:tc>
          <w:tcPr>
            <w:tcW w:w="1028" w:type="dxa"/>
            <w:gridSpan w:val="3"/>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rFonts w:ascii="Times New Roman" w:hAnsi="Times New Roman"/>
              </w:rPr>
            </w:pPr>
            <w:r>
              <w:rPr>
                <w:rFonts w:cs="Tinos"/>
                <w:kern w:val="0"/>
                <w:sz w:val="16"/>
                <w:lang w:val="ru-RU" w:bidi="ar-SA"/>
              </w:rPr>
              <w:t xml:space="preserve">Итоговый отчет </w:t>
              <w:br/>
              <w:t>о реализации</w:t>
            </w:r>
          </w:p>
        </w:tc>
        <w:tc>
          <w:tcPr>
            <w:tcW w:w="1267" w:type="dxa"/>
            <w:tcBorders>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jc w:val="center"/>
              <w:rPr>
                <w:rFonts w:ascii="Times New Roman" w:hAnsi="Times New Roman"/>
                <w:color w:val="000000"/>
                <w:sz w:val="16"/>
                <w:szCs w:val="16"/>
              </w:rPr>
            </w:pPr>
            <w:r>
              <w:rPr>
                <w:color w:val="000000"/>
                <w:sz w:val="16"/>
                <w:szCs w:val="16"/>
              </w:rPr>
              <w:t>В течении 2025 года  не умирали люди, у которых отсутствуют родственники</w:t>
            </w:r>
          </w:p>
        </w:tc>
      </w:tr>
    </w:tbl>
    <w:p>
      <w:pPr>
        <w:pStyle w:val="Normal"/>
        <w:spacing w:lineRule="auto" w:line="240" w:before="0" w:after="0"/>
        <w:ind w:left="360" w:right="536" w:hanging="0"/>
        <w:jc w:val="right"/>
        <w:rPr>
          <w:rFonts w:ascii="Times New Roman" w:hAnsi="Times New Roman"/>
          <w:bCs/>
          <w:color w:val="000000"/>
          <w:sz w:val="20"/>
        </w:rPr>
      </w:pPr>
      <w:r>
        <w:rPr>
          <w:bCs/>
          <w:color w:val="000000"/>
          <w:sz w:val="20"/>
        </w:rPr>
      </w:r>
    </w:p>
    <w:p>
      <w:pPr>
        <w:pStyle w:val="Normal"/>
        <w:spacing w:lineRule="auto" w:line="240" w:before="0" w:after="0"/>
        <w:ind w:left="360" w:right="536" w:hanging="0"/>
        <w:jc w:val="right"/>
        <w:rPr>
          <w:rFonts w:ascii="Times New Roman" w:hAnsi="Times New Roman"/>
          <w:bCs/>
          <w:color w:val="000000"/>
          <w:sz w:val="20"/>
        </w:rPr>
      </w:pPr>
      <w:r>
        <w:rPr>
          <w:bCs/>
          <w:color w:val="000000"/>
          <w:sz w:val="20"/>
        </w:rPr>
      </w:r>
    </w:p>
    <w:p>
      <w:pPr>
        <w:pStyle w:val="Normal"/>
        <w:spacing w:lineRule="auto" w:line="240" w:before="0" w:after="0"/>
        <w:ind w:left="360" w:right="536" w:hanging="0"/>
        <w:jc w:val="center"/>
        <w:rPr>
          <w:rFonts w:ascii="Times New Roman" w:hAnsi="Times New Roman"/>
          <w:bCs/>
          <w:color w:val="000000"/>
          <w:sz w:val="24"/>
          <w:szCs w:val="24"/>
        </w:rPr>
      </w:pPr>
      <w:r>
        <w:rPr>
          <w:bCs/>
          <w:color w:val="000000"/>
          <w:sz w:val="24"/>
          <w:szCs w:val="24"/>
        </w:rPr>
        <w:t>4. Сведения об исполнении бюджетных ассигнований, предусмотренных на финансовое обеспечение реализации комплекса процессных мероприятий «</w:t>
      </w:r>
      <w:r>
        <w:rPr>
          <w:rFonts w:eastAsia="" w:cs="Tinos"/>
          <w:b/>
          <w:bCs/>
          <w:i w:val="false"/>
          <w:iCs w:val="false"/>
          <w:caps w:val="false"/>
          <w:smallCaps w:val="false"/>
          <w:color w:val="000000"/>
          <w:spacing w:val="0"/>
          <w:kern w:val="0"/>
          <w:sz w:val="24"/>
          <w:szCs w:val="24"/>
          <w:shd w:fill="auto" w:val="clear"/>
          <w:lang w:val="ru-RU" w:eastAsia="en-US" w:bidi="ar-SA"/>
        </w:rPr>
        <w:t>Создание условий для обеспечения населения качественными услугами жилищно-коммунального хозяйств»</w:t>
      </w:r>
    </w:p>
    <w:p>
      <w:pPr>
        <w:pStyle w:val="ConsPlusNormal"/>
        <w:jc w:val="right"/>
        <w:rPr>
          <w:rFonts w:ascii="Times New Roman" w:hAnsi="Times New Roman" w:cs="Times New Roman"/>
          <w:sz w:val="16"/>
          <w:szCs w:val="16"/>
        </w:rPr>
      </w:pPr>
      <w:r>
        <w:rPr>
          <w:rFonts w:cs="Times New Roman" w:ascii="Times New Roman" w:hAnsi="Times New Roman"/>
          <w:sz w:val="16"/>
          <w:szCs w:val="16"/>
        </w:rPr>
      </w:r>
    </w:p>
    <w:tbl>
      <w:tblPr>
        <w:tblStyle w:val="aa"/>
        <w:tblW w:w="15813" w:type="dxa"/>
        <w:jc w:val="center"/>
        <w:tblInd w:w="0" w:type="dxa"/>
        <w:tblLayout w:type="fixed"/>
        <w:tblCellMar>
          <w:top w:w="55" w:type="dxa"/>
          <w:left w:w="108" w:type="dxa"/>
          <w:bottom w:w="55" w:type="dxa"/>
          <w:right w:w="108" w:type="dxa"/>
        </w:tblCellMar>
        <w:tblLook w:noVBand="1" w:val="04a0" w:noHBand="0" w:lastColumn="0" w:firstColumn="1" w:lastRow="0" w:firstRow="1"/>
      </w:tblPr>
      <w:tblGrid>
        <w:gridCol w:w="4985"/>
        <w:gridCol w:w="2073"/>
        <w:gridCol w:w="1283"/>
        <w:gridCol w:w="983"/>
        <w:gridCol w:w="1096"/>
        <w:gridCol w:w="1167"/>
        <w:gridCol w:w="1091"/>
        <w:gridCol w:w="1558"/>
        <w:gridCol w:w="1575"/>
      </w:tblGrid>
      <w:tr>
        <w:trPr>
          <w:tblHeader w:val="true"/>
          <w:trHeight w:val="20" w:hRule="atLeast"/>
        </w:trPr>
        <w:tc>
          <w:tcPr>
            <w:tcW w:w="4985" w:type="dxa"/>
            <w:vMerge w:val="restart"/>
            <w:tcBorders>
              <w:top w:val="single" w:sz="4" w:space="0" w:color="000000"/>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Наименование мероприятия (результата) и источника финансового обеспечения</w:t>
            </w:r>
          </w:p>
        </w:tc>
        <w:tc>
          <w:tcPr>
            <w:tcW w:w="2073" w:type="dxa"/>
            <w:vMerge w:val="restart"/>
            <w:tcBorders>
              <w:top w:val="single" w:sz="4" w:space="0" w:color="000000"/>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Код бюджетной классификации</w:t>
            </w:r>
          </w:p>
        </w:tc>
        <w:tc>
          <w:tcPr>
            <w:tcW w:w="3362" w:type="dxa"/>
            <w:gridSpan w:val="3"/>
            <w:tcBorders>
              <w:top w:val="single" w:sz="4" w:space="0" w:color="000000"/>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 xml:space="preserve">Объем финансового обеспечения, </w:t>
              <w:br/>
              <w:t>тыс. рублей</w:t>
            </w:r>
          </w:p>
        </w:tc>
        <w:tc>
          <w:tcPr>
            <w:tcW w:w="2258" w:type="dxa"/>
            <w:gridSpan w:val="2"/>
            <w:tcBorders>
              <w:top w:val="single" w:sz="4" w:space="0" w:color="000000"/>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 xml:space="preserve">Исполнение, </w:t>
              <w:br/>
              <w:t>тыс. рублей</w:t>
            </w:r>
          </w:p>
        </w:tc>
        <w:tc>
          <w:tcPr>
            <w:tcW w:w="1558" w:type="dxa"/>
            <w:vMerge w:val="restart"/>
            <w:tcBorders>
              <w:top w:val="single" w:sz="4" w:space="0" w:color="000000"/>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Процент исполнения, (7)/(4)*100</w:t>
            </w:r>
            <w:bookmarkStart w:id="7" w:name="_Ref129274543"/>
            <w:r>
              <w:rPr>
                <w:rFonts w:eastAsia="" w:cs="Times New Roman"/>
                <w:b/>
                <w:kern w:val="0"/>
                <w:sz w:val="16"/>
                <w:szCs w:val="16"/>
                <w:vertAlign w:val="superscript"/>
                <w:lang w:val="ru-RU" w:bidi="ar-SA"/>
              </w:rPr>
              <w:t>14</w:t>
            </w:r>
            <w:bookmarkEnd w:id="7"/>
          </w:p>
        </w:tc>
        <w:tc>
          <w:tcPr>
            <w:tcW w:w="1575" w:type="dxa"/>
            <w:vMerge w:val="restart"/>
            <w:tcBorders>
              <w:top w:val="single" w:sz="4" w:space="0" w:color="000000"/>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Комментарий</w:t>
            </w:r>
          </w:p>
        </w:tc>
      </w:tr>
      <w:tr>
        <w:trPr>
          <w:tblHeader w:val="true"/>
          <w:trHeight w:val="668" w:hRule="atLeast"/>
        </w:trPr>
        <w:tc>
          <w:tcPr>
            <w:tcW w:w="4985" w:type="dxa"/>
            <w:vMerge w:val="continue"/>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b/>
                <w:sz w:val="16"/>
                <w:szCs w:val="16"/>
              </w:rPr>
            </w:r>
          </w:p>
        </w:tc>
        <w:tc>
          <w:tcPr>
            <w:tcW w:w="2073" w:type="dxa"/>
            <w:vMerge w:val="continue"/>
            <w:tcBorders>
              <w:left w:val="single" w:sz="4" w:space="0" w:color="000000"/>
              <w:bottom w:val="single" w:sz="4" w:space="0" w:color="000000"/>
            </w:tcBorders>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b/>
                <w:sz w:val="16"/>
                <w:szCs w:val="16"/>
              </w:rPr>
            </w:r>
          </w:p>
        </w:tc>
        <w:tc>
          <w:tcPr>
            <w:tcW w:w="12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Предусмотрено паспортом</w:t>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Сводная бюджетная роспись</w:t>
            </w:r>
          </w:p>
        </w:tc>
        <w:tc>
          <w:tcPr>
            <w:tcW w:w="1096"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Лимиты бюджетных обязательств</w:t>
            </w:r>
          </w:p>
        </w:tc>
        <w:tc>
          <w:tcPr>
            <w:tcW w:w="1167"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Принятые бюджетные обязательства</w:t>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Кассовое исполнение</w:t>
            </w:r>
          </w:p>
        </w:tc>
        <w:tc>
          <w:tcPr>
            <w:tcW w:w="1558" w:type="dxa"/>
            <w:vMerge w:val="continue"/>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b/>
                <w:sz w:val="16"/>
                <w:szCs w:val="16"/>
              </w:rPr>
            </w:r>
          </w:p>
        </w:tc>
        <w:tc>
          <w:tcPr>
            <w:tcW w:w="1575" w:type="dxa"/>
            <w:vMerge w:val="continue"/>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b/>
                <w:sz w:val="16"/>
                <w:szCs w:val="16"/>
              </w:rPr>
            </w:r>
          </w:p>
        </w:tc>
      </w:tr>
      <w:tr>
        <w:trPr>
          <w:tblHeader w:val="true"/>
          <w:trHeight w:val="20" w:hRule="atLeast"/>
        </w:trPr>
        <w:tc>
          <w:tcPr>
            <w:tcW w:w="4985"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1</w:t>
            </w:r>
          </w:p>
        </w:tc>
        <w:tc>
          <w:tcPr>
            <w:tcW w:w="207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2</w:t>
            </w:r>
          </w:p>
        </w:tc>
        <w:tc>
          <w:tcPr>
            <w:tcW w:w="12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3</w:t>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4</w:t>
            </w:r>
          </w:p>
        </w:tc>
        <w:tc>
          <w:tcPr>
            <w:tcW w:w="1096"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5</w:t>
            </w:r>
          </w:p>
        </w:tc>
        <w:tc>
          <w:tcPr>
            <w:tcW w:w="1167"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6</w:t>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7</w:t>
            </w:r>
          </w:p>
        </w:tc>
        <w:tc>
          <w:tcPr>
            <w:tcW w:w="1558"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8</w:t>
            </w:r>
          </w:p>
        </w:tc>
        <w:tc>
          <w:tcPr>
            <w:tcW w:w="1575" w:type="dxa"/>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b/>
                <w:sz w:val="16"/>
                <w:szCs w:val="16"/>
              </w:rPr>
            </w:pPr>
            <w:r>
              <w:rPr>
                <w:rFonts w:eastAsia="" w:cs="Times New Roman"/>
                <w:b/>
                <w:kern w:val="0"/>
                <w:sz w:val="16"/>
                <w:szCs w:val="16"/>
                <w:lang w:val="ru-RU" w:bidi="ar-SA"/>
              </w:rPr>
              <w:t>9</w:t>
            </w:r>
          </w:p>
        </w:tc>
      </w:tr>
      <w:tr>
        <w:trPr>
          <w:trHeight w:val="20" w:hRule="atLeast"/>
        </w:trPr>
        <w:tc>
          <w:tcPr>
            <w:tcW w:w="4985"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left"/>
              <w:rPr>
                <w:rFonts w:ascii="Times New Roman" w:hAnsi="Times New Roman"/>
                <w:b/>
                <w:i/>
                <w:i/>
                <w:sz w:val="16"/>
                <w:szCs w:val="16"/>
              </w:rPr>
            </w:pPr>
            <w:r>
              <w:rPr>
                <w:rFonts w:eastAsia="" w:cs="Times New Roman"/>
                <w:b/>
                <w:i/>
                <w:kern w:val="0"/>
                <w:sz w:val="16"/>
                <w:szCs w:val="16"/>
                <w:lang w:val="ru-RU" w:bidi="ar-SA"/>
              </w:rPr>
              <w:t xml:space="preserve">Комплекс процессных мероприятий </w:t>
            </w:r>
            <w:r>
              <w:rPr>
                <w:rFonts w:eastAsia="" w:cs="Times New Roman"/>
                <w:b/>
                <w:bCs/>
                <w:i/>
                <w:color w:val="000000"/>
                <w:kern w:val="0"/>
                <w:sz w:val="16"/>
                <w:szCs w:val="16"/>
                <w:lang w:val="ru-RU" w:bidi="ar-SA"/>
              </w:rPr>
              <w:t>«</w:t>
            </w:r>
            <w:r>
              <w:rPr>
                <w:rFonts w:eastAsia="" w:cs="Tinos"/>
                <w:b/>
                <w:bCs/>
                <w:i w:val="false"/>
                <w:iCs w:val="false"/>
                <w:caps w:val="false"/>
                <w:smallCaps w:val="false"/>
                <w:color w:val="000000"/>
                <w:spacing w:val="0"/>
                <w:kern w:val="0"/>
                <w:sz w:val="16"/>
                <w:szCs w:val="16"/>
                <w:shd w:fill="auto" w:val="clear"/>
                <w:lang w:val="ru-RU" w:eastAsia="en-US" w:bidi="ar-SA"/>
              </w:rPr>
              <w:t>Создание условий для обеспечения населения качественными услугами жилищно-коммунального хозяйств»</w:t>
            </w:r>
            <w:r>
              <w:rPr>
                <w:rFonts w:eastAsia="" w:cs="Times New Roman"/>
                <w:b/>
                <w:i/>
                <w:kern w:val="0"/>
                <w:sz w:val="16"/>
                <w:szCs w:val="16"/>
                <w:lang w:val="ru-RU" w:bidi="ar-SA"/>
              </w:rPr>
              <w:t>, в том числе:</w:t>
            </w:r>
          </w:p>
        </w:tc>
        <w:tc>
          <w:tcPr>
            <w:tcW w:w="2073" w:type="dxa"/>
            <w:vMerge w:val="restart"/>
            <w:tcBorders>
              <w:left w:val="single" w:sz="4" w:space="0" w:color="000000"/>
              <w:bottom w:val="single" w:sz="4" w:space="0" w:color="000000"/>
            </w:tcBorders>
          </w:tcPr>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892 0503 1140171350 244</w:t>
            </w:r>
          </w:p>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200</w:t>
            </w:r>
          </w:p>
          <w:p>
            <w:pPr>
              <w:pStyle w:val="Normal"/>
              <w:widowControl w:val="false"/>
              <w:suppressAutoHyphens w:val="true"/>
              <w:bidi w:val="0"/>
              <w:spacing w:lineRule="auto" w:line="240" w:before="0" w:after="0"/>
              <w:ind w:left="0" w:right="0" w:hanging="0"/>
              <w:jc w:val="center"/>
              <w:rPr>
                <w:rFonts w:ascii="Times New Roman" w:hAnsi="Times New Roman"/>
                <w:kern w:val="0"/>
                <w:sz w:val="16"/>
                <w:szCs w:val="16"/>
                <w:highlight w:val="none"/>
                <w:shd w:fill="auto" w:val="clear"/>
                <w:lang w:val="ru-RU" w:bidi="ar-SA"/>
              </w:rPr>
            </w:pPr>
            <w:r>
              <w:rPr>
                <w:kern w:val="0"/>
                <w:sz w:val="16"/>
                <w:szCs w:val="16"/>
                <w:shd w:fill="auto" w:val="clear"/>
                <w:lang w:val="ru-RU" w:bidi="ar-SA"/>
              </w:rPr>
            </w:r>
          </w:p>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850 0503 1140161340 244 300</w:t>
            </w:r>
          </w:p>
          <w:p>
            <w:pPr>
              <w:pStyle w:val="Normal"/>
              <w:widowControl w:val="false"/>
              <w:suppressAutoHyphens w:val="true"/>
              <w:bidi w:val="0"/>
              <w:spacing w:lineRule="auto" w:line="240" w:before="0" w:after="0"/>
              <w:ind w:left="0" w:right="0" w:hanging="0"/>
              <w:jc w:val="center"/>
              <w:rPr>
                <w:rFonts w:ascii="Times New Roman" w:hAnsi="Times New Roman"/>
                <w:kern w:val="0"/>
                <w:sz w:val="16"/>
                <w:szCs w:val="16"/>
                <w:highlight w:val="none"/>
                <w:shd w:fill="auto" w:val="clear"/>
                <w:lang w:val="ru-RU" w:bidi="ar-SA"/>
              </w:rPr>
            </w:pPr>
            <w:r>
              <w:rPr>
                <w:kern w:val="0"/>
                <w:sz w:val="16"/>
                <w:szCs w:val="16"/>
                <w:shd w:fill="auto" w:val="clear"/>
                <w:lang w:val="ru-RU" w:bidi="ar-SA"/>
              </w:rPr>
            </w:r>
          </w:p>
          <w:p>
            <w:pPr>
              <w:pStyle w:val="Normal"/>
              <w:widowControl w:val="false"/>
              <w:suppressAutoHyphens w:val="true"/>
              <w:bidi w:val="0"/>
              <w:spacing w:lineRule="auto" w:line="240" w:before="0" w:after="0"/>
              <w:ind w:left="0" w:right="0" w:hanging="0"/>
              <w:jc w:val="center"/>
              <w:rPr>
                <w:sz w:val="16"/>
                <w:szCs w:val="16"/>
              </w:rPr>
            </w:pPr>
            <w:r>
              <w:rPr>
                <w:kern w:val="0"/>
                <w:sz w:val="16"/>
                <w:szCs w:val="16"/>
                <w:shd w:fill="auto" w:val="clear"/>
                <w:lang w:val="ru-RU" w:bidi="ar-SA"/>
              </w:rPr>
              <w:t>855 0503 1140161340 244300</w:t>
            </w:r>
          </w:p>
        </w:tc>
        <w:tc>
          <w:tcPr>
            <w:tcW w:w="1283"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096"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167"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558"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99,9</w:t>
            </w:r>
          </w:p>
        </w:tc>
        <w:tc>
          <w:tcPr>
            <w:tcW w:w="1575" w:type="dxa"/>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6"/>
                <w:szCs w:val="16"/>
              </w:rPr>
            </w:pPr>
            <w:r>
              <w:rPr>
                <w:sz w:val="16"/>
                <w:szCs w:val="16"/>
              </w:rPr>
            </w:r>
          </w:p>
        </w:tc>
      </w:tr>
      <w:tr>
        <w:trPr>
          <w:trHeight w:val="20" w:hRule="atLeast"/>
        </w:trPr>
        <w:tc>
          <w:tcPr>
            <w:tcW w:w="4985"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федерального бюджета (справочно)</w:t>
            </w:r>
          </w:p>
        </w:tc>
        <w:tc>
          <w:tcPr>
            <w:tcW w:w="2073" w:type="dxa"/>
            <w:vMerge w:val="continue"/>
            <w:tcBorders>
              <w:left w:val="single" w:sz="4" w:space="0" w:color="000000"/>
              <w:bottom w:val="single" w:sz="4" w:space="0" w:color="000000"/>
            </w:tcBorders>
          </w:tcPr>
          <w:p>
            <w:pPr>
              <w:pStyle w:val="ListParagraph"/>
              <w:widowControl w:val="false"/>
              <w:suppressAutoHyphens w:val="true"/>
              <w:spacing w:lineRule="auto" w:line="240" w:before="0" w:after="0"/>
              <w:ind w:left="-57" w:right="-57" w:hanging="0"/>
              <w:contextualSpacing/>
              <w:jc w:val="center"/>
              <w:rPr>
                <w:rFonts w:ascii="Times New Roman" w:hAnsi="Times New Roman"/>
                <w:sz w:val="16"/>
                <w:szCs w:val="16"/>
              </w:rPr>
            </w:pPr>
            <w:r>
              <w:rPr>
                <w:sz w:val="16"/>
                <w:szCs w:val="16"/>
              </w:rPr>
            </w:r>
          </w:p>
        </w:tc>
        <w:tc>
          <w:tcPr>
            <w:tcW w:w="1283"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096"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167"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0</w:t>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58"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75" w:type="dxa"/>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6"/>
                <w:szCs w:val="16"/>
              </w:rPr>
            </w:pPr>
            <w:r>
              <w:rPr>
                <w:sz w:val="16"/>
                <w:szCs w:val="16"/>
              </w:rPr>
            </w:r>
          </w:p>
        </w:tc>
      </w:tr>
      <w:tr>
        <w:trPr>
          <w:trHeight w:val="20" w:hRule="atLeast"/>
        </w:trPr>
        <w:tc>
          <w:tcPr>
            <w:tcW w:w="4985"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 w:hanging="0"/>
              <w:contextualSpacing/>
              <w:jc w:val="left"/>
              <w:rPr>
                <w:rFonts w:ascii="Times New Roman" w:hAnsi="Times New Roman"/>
                <w:iCs/>
                <w:sz w:val="16"/>
                <w:szCs w:val="16"/>
              </w:rPr>
            </w:pPr>
            <w:r>
              <w:rPr>
                <w:rFonts w:eastAsia="" w:cs="Times New Roman"/>
                <w:iCs/>
                <w:kern w:val="0"/>
                <w:sz w:val="16"/>
                <w:szCs w:val="16"/>
                <w:lang w:val="ru-RU" w:bidi="ar-SA"/>
              </w:rPr>
              <w:t>- межбюджетные трансферты из областного бюджета (справочно)</w:t>
            </w:r>
          </w:p>
        </w:tc>
        <w:tc>
          <w:tcPr>
            <w:tcW w:w="2073" w:type="dxa"/>
            <w:vMerge w:val="continue"/>
            <w:tcBorders>
              <w:left w:val="single" w:sz="4" w:space="0" w:color="000000"/>
              <w:bottom w:val="single" w:sz="4" w:space="0" w:color="000000"/>
            </w:tcBorders>
          </w:tcPr>
          <w:p>
            <w:pPr>
              <w:pStyle w:val="ListParagraph"/>
              <w:widowControl w:val="false"/>
              <w:suppressAutoHyphens w:val="true"/>
              <w:spacing w:lineRule="auto" w:line="240" w:before="0" w:after="0"/>
              <w:ind w:left="-57" w:right="-57" w:hanging="0"/>
              <w:contextualSpacing/>
              <w:jc w:val="center"/>
              <w:rPr>
                <w:rFonts w:ascii="Times New Roman" w:hAnsi="Times New Roman"/>
                <w:sz w:val="16"/>
                <w:szCs w:val="16"/>
              </w:rPr>
            </w:pPr>
            <w:r>
              <w:rPr>
                <w:sz w:val="16"/>
                <w:szCs w:val="16"/>
              </w:rPr>
            </w:r>
          </w:p>
        </w:tc>
        <w:tc>
          <w:tcPr>
            <w:tcW w:w="1283"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17,000</w:t>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096"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17,000</w:t>
            </w:r>
          </w:p>
        </w:tc>
        <w:tc>
          <w:tcPr>
            <w:tcW w:w="1167"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17,000</w:t>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58"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0</w:t>
            </w:r>
          </w:p>
        </w:tc>
        <w:tc>
          <w:tcPr>
            <w:tcW w:w="1575" w:type="dxa"/>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6"/>
                <w:szCs w:val="16"/>
              </w:rPr>
            </w:pPr>
            <w:r>
              <w:rPr>
                <w:sz w:val="16"/>
                <w:szCs w:val="16"/>
              </w:rPr>
            </w:r>
          </w:p>
        </w:tc>
      </w:tr>
      <w:tr>
        <w:trPr>
          <w:trHeight w:val="20" w:hRule="atLeast"/>
        </w:trPr>
        <w:tc>
          <w:tcPr>
            <w:tcW w:w="4985"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средства районного бюджета</w:t>
            </w:r>
          </w:p>
        </w:tc>
        <w:tc>
          <w:tcPr>
            <w:tcW w:w="2073" w:type="dxa"/>
            <w:vMerge w:val="continue"/>
            <w:tcBorders>
              <w:left w:val="single" w:sz="4" w:space="0" w:color="000000"/>
              <w:bottom w:val="single" w:sz="4" w:space="0" w:color="000000"/>
            </w:tcBorders>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283"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28468,000</w:t>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28466,960</w:t>
            </w:r>
          </w:p>
        </w:tc>
        <w:tc>
          <w:tcPr>
            <w:tcW w:w="1096"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28468,000</w:t>
            </w:r>
          </w:p>
        </w:tc>
        <w:tc>
          <w:tcPr>
            <w:tcW w:w="1167" w:type="dxa"/>
            <w:tcBorders>
              <w:left w:val="single" w:sz="4" w:space="0" w:color="000000"/>
              <w:bottom w:val="single" w:sz="4" w:space="0" w:color="000000"/>
            </w:tcBorders>
            <w:vAlign w:val="center"/>
          </w:tcPr>
          <w:p>
            <w:pPr>
              <w:pStyle w:val="Normal"/>
              <w:widowControl w:val="false"/>
              <w:tabs>
                <w:tab w:val="clear" w:pos="708"/>
                <w:tab w:val="left" w:pos="1853" w:leader="none"/>
              </w:tabs>
              <w:suppressAutoHyphens w:val="true"/>
              <w:spacing w:lineRule="atLeast" w:line="0" w:before="0" w:after="0"/>
              <w:ind w:left="0" w:right="0" w:hanging="0"/>
              <w:jc w:val="center"/>
              <w:rPr>
                <w:sz w:val="16"/>
                <w:szCs w:val="16"/>
              </w:rPr>
            </w:pPr>
            <w:r>
              <w:rPr>
                <w:rFonts w:cs="Tinos"/>
                <w:sz w:val="16"/>
                <w:szCs w:val="16"/>
                <w:shd w:fill="auto" w:val="clear"/>
              </w:rPr>
              <w:t>28468,000</w:t>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28466,960</w:t>
            </w:r>
          </w:p>
        </w:tc>
        <w:tc>
          <w:tcPr>
            <w:tcW w:w="1558"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0" w:hanging="0"/>
              <w:contextualSpacing/>
              <w:jc w:val="center"/>
              <w:rPr>
                <w:rFonts w:ascii="Times New Roman" w:hAnsi="Times New Roman"/>
                <w:sz w:val="16"/>
                <w:szCs w:val="16"/>
              </w:rPr>
            </w:pPr>
            <w:r>
              <w:rPr>
                <w:sz w:val="16"/>
                <w:szCs w:val="16"/>
              </w:rPr>
              <w:t>100</w:t>
            </w:r>
          </w:p>
        </w:tc>
        <w:tc>
          <w:tcPr>
            <w:tcW w:w="1575" w:type="dxa"/>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r>
      <w:tr>
        <w:trPr>
          <w:trHeight w:val="20" w:hRule="atLeast"/>
        </w:trPr>
        <w:tc>
          <w:tcPr>
            <w:tcW w:w="4985"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 w:hanging="0"/>
              <w:contextualSpacing/>
              <w:jc w:val="left"/>
              <w:rPr>
                <w:rFonts w:ascii="Times New Roman" w:hAnsi="Times New Roman"/>
                <w:sz w:val="16"/>
                <w:szCs w:val="16"/>
              </w:rPr>
            </w:pPr>
            <w:r>
              <w:rPr>
                <w:rFonts w:eastAsia="" w:cs="Times New Roman"/>
                <w:kern w:val="0"/>
                <w:sz w:val="16"/>
                <w:szCs w:val="16"/>
                <w:lang w:val="ru-RU" w:bidi="ar-SA"/>
              </w:rPr>
              <w:t>- внебюджетные источники</w:t>
            </w:r>
          </w:p>
        </w:tc>
        <w:tc>
          <w:tcPr>
            <w:tcW w:w="2073" w:type="dxa"/>
            <w:vMerge w:val="continue"/>
            <w:tcBorders>
              <w:left w:val="single" w:sz="4" w:space="0" w:color="000000"/>
              <w:bottom w:val="single" w:sz="4" w:space="0" w:color="000000"/>
            </w:tcBorders>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2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983"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096"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167"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091"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558" w:type="dxa"/>
            <w:tcBorders>
              <w:left w:val="single" w:sz="4" w:space="0" w:color="000000"/>
              <w:bottom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c>
          <w:tcPr>
            <w:tcW w:w="1575" w:type="dxa"/>
            <w:tcBorders>
              <w:left w:val="single" w:sz="4" w:space="0" w:color="000000"/>
              <w:bottom w:val="single" w:sz="4" w:space="0" w:color="000000"/>
              <w:right w:val="single" w:sz="4" w:space="0" w:color="000000"/>
            </w:tcBorders>
            <w:vAlign w:val="center"/>
          </w:tcPr>
          <w:p>
            <w:pPr>
              <w:pStyle w:val="ListParagraph"/>
              <w:widowControl w:val="false"/>
              <w:suppressAutoHyphens w:val="true"/>
              <w:spacing w:lineRule="auto" w:line="240" w:before="0" w:after="0"/>
              <w:ind w:left="-57" w:right="-57" w:hanging="0"/>
              <w:contextualSpacing/>
              <w:jc w:val="center"/>
              <w:rPr>
                <w:rFonts w:ascii="Times New Roman" w:hAnsi="Times New Roman"/>
                <w:sz w:val="18"/>
                <w:szCs w:val="18"/>
              </w:rPr>
            </w:pPr>
            <w:r>
              <w:rPr>
                <w:sz w:val="18"/>
                <w:szCs w:val="18"/>
              </w:rPr>
            </w:r>
          </w:p>
        </w:tc>
      </w:tr>
    </w:tbl>
    <w:p>
      <w:pPr>
        <w:pStyle w:val="ConsPlusNormal"/>
        <w:jc w:val="right"/>
        <w:rPr>
          <w:rFonts w:ascii="Times New Roman" w:hAnsi="Times New Roman" w:cs="Times New Roman"/>
          <w:sz w:val="16"/>
          <w:szCs w:val="16"/>
        </w:rPr>
      </w:pPr>
      <w:r>
        <w:rPr>
          <w:rFonts w:cs="Times New Roman" w:ascii="Times New Roman" w:hAnsi="Times New Roman"/>
          <w:sz w:val="16"/>
          <w:szCs w:val="16"/>
        </w:rPr>
      </w:r>
    </w:p>
    <w:p>
      <w:pPr>
        <w:pStyle w:val="Normal"/>
        <w:spacing w:lineRule="auto" w:line="240" w:before="0" w:after="0"/>
        <w:ind w:right="-31" w:hanging="0"/>
        <w:jc w:val="center"/>
        <w:rPr>
          <w:rFonts w:ascii="Times New Roman" w:hAnsi="Times New Roman"/>
          <w:bCs/>
          <w:color w:val="000000"/>
          <w:sz w:val="24"/>
          <w:szCs w:val="24"/>
        </w:rPr>
      </w:pPr>
      <w:r>
        <w:rPr>
          <w:bCs/>
          <w:color w:val="000000"/>
          <w:sz w:val="24"/>
          <w:szCs w:val="24"/>
        </w:rPr>
        <w:t>4.1. Сведения об использовании бюджетных ассигнований на реализацию комплекса процессных мероприятий «</w:t>
      </w:r>
      <w:r>
        <w:rPr>
          <w:rFonts w:eastAsia="" w:cs="Tinos"/>
          <w:b/>
          <w:bCs/>
          <w:i w:val="false"/>
          <w:iCs w:val="false"/>
          <w:caps w:val="false"/>
          <w:smallCaps w:val="false"/>
          <w:color w:val="000000"/>
          <w:spacing w:val="0"/>
          <w:kern w:val="0"/>
          <w:sz w:val="24"/>
          <w:szCs w:val="24"/>
          <w:shd w:fill="auto" w:val="clear"/>
          <w:lang w:val="ru-RU" w:eastAsia="en-US" w:bidi="ar-SA"/>
        </w:rPr>
        <w:t>Создание условий для обеспечения населения качественными услугами жилищно-коммунального хозяйств»</w:t>
      </w:r>
      <w:r>
        <w:rPr>
          <w:bCs/>
          <w:color w:val="000000"/>
          <w:sz w:val="24"/>
          <w:szCs w:val="24"/>
        </w:rPr>
        <w:t xml:space="preserve"> по источникам финансирования дефицита бюджета муниципального округа</w:t>
      </w:r>
      <w:r>
        <w:rPr>
          <w:b/>
          <w:sz w:val="24"/>
          <w:szCs w:val="24"/>
          <w:vertAlign w:val="superscript"/>
        </w:rPr>
        <w:t>16</w:t>
      </w:r>
    </w:p>
    <w:p>
      <w:pPr>
        <w:pStyle w:val="Normal"/>
        <w:spacing w:lineRule="auto" w:line="240" w:before="0" w:after="0"/>
        <w:ind w:left="360" w:right="536" w:hanging="0"/>
        <w:jc w:val="center"/>
        <w:rPr>
          <w:rFonts w:ascii="Times New Roman" w:hAnsi="Times New Roman"/>
          <w:bCs/>
          <w:color w:val="000000"/>
          <w:sz w:val="16"/>
          <w:szCs w:val="16"/>
        </w:rPr>
      </w:pPr>
      <w:r>
        <w:rPr>
          <w:bCs/>
          <w:color w:val="000000"/>
          <w:sz w:val="16"/>
          <w:szCs w:val="16"/>
        </w:rPr>
      </w:r>
    </w:p>
    <w:tbl>
      <w:tblPr>
        <w:tblStyle w:val="aa"/>
        <w:tblW w:w="15360" w:type="dxa"/>
        <w:jc w:val="left"/>
        <w:tblInd w:w="-5" w:type="dxa"/>
        <w:tblLayout w:type="fixed"/>
        <w:tblCellMar>
          <w:top w:w="55" w:type="dxa"/>
          <w:left w:w="108" w:type="dxa"/>
          <w:bottom w:w="55" w:type="dxa"/>
          <w:right w:w="108" w:type="dxa"/>
        </w:tblCellMar>
        <w:tblLook w:noVBand="1" w:val="04a0" w:noHBand="0" w:lastColumn="0" w:firstColumn="1" w:lastRow="0" w:firstRow="1"/>
      </w:tblPr>
      <w:tblGrid>
        <w:gridCol w:w="5466"/>
        <w:gridCol w:w="1842"/>
        <w:gridCol w:w="1843"/>
        <w:gridCol w:w="1559"/>
        <w:gridCol w:w="1559"/>
        <w:gridCol w:w="3090"/>
      </w:tblGrid>
      <w:tr>
        <w:trPr>
          <w:trHeight w:val="50" w:hRule="atLeast"/>
        </w:trPr>
        <w:tc>
          <w:tcPr>
            <w:tcW w:w="5466" w:type="dxa"/>
            <w:vMerge w:val="restart"/>
            <w:tcBorders>
              <w:top w:val="single" w:sz="4" w:space="0" w:color="000000"/>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Наименование комплекса процессных мероприятий</w:t>
            </w:r>
          </w:p>
        </w:tc>
        <w:tc>
          <w:tcPr>
            <w:tcW w:w="5244" w:type="dxa"/>
            <w:gridSpan w:val="3"/>
            <w:tcBorders>
              <w:top w:val="single" w:sz="4" w:space="0" w:color="000000"/>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Объем финансового обеспечения, тыс. рублей</w:t>
            </w:r>
          </w:p>
        </w:tc>
        <w:tc>
          <w:tcPr>
            <w:tcW w:w="1559" w:type="dxa"/>
            <w:vMerge w:val="restart"/>
            <w:tcBorders>
              <w:top w:val="single" w:sz="4" w:space="0" w:color="000000"/>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Процент исполнения, (4)/(3)*100</w:t>
            </w:r>
          </w:p>
        </w:tc>
        <w:tc>
          <w:tcPr>
            <w:tcW w:w="3090" w:type="dxa"/>
            <w:vMerge w:val="restart"/>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Комментарий</w:t>
            </w:r>
          </w:p>
        </w:tc>
      </w:tr>
      <w:tr>
        <w:trPr>
          <w:trHeight w:val="251" w:hRule="atLeast"/>
        </w:trPr>
        <w:tc>
          <w:tcPr>
            <w:tcW w:w="5466" w:type="dxa"/>
            <w:vMerge w:val="continue"/>
            <w:tcBorders>
              <w:left w:val="single" w:sz="4" w:space="0" w:color="000000"/>
              <w:bottom w:val="single" w:sz="4" w:space="0" w:color="000000"/>
            </w:tcBorders>
          </w:tcPr>
          <w:p>
            <w:pPr>
              <w:pStyle w:val="ConsPlusNormal"/>
              <w:widowControl w:val="false"/>
              <w:suppressAutoHyphens w:val="true"/>
              <w:spacing w:before="220" w:after="0"/>
              <w:jc w:val="center"/>
              <w:rPr>
                <w:rFonts w:ascii="Times New Roman" w:hAnsi="Times New Roman" w:cs="Times New Roman"/>
                <w:b/>
                <w:bCs/>
                <w:color w:val="000000"/>
                <w:sz w:val="16"/>
                <w:szCs w:val="16"/>
              </w:rPr>
            </w:pPr>
            <w:r>
              <w:rPr>
                <w:rFonts w:cs="Times New Roman" w:ascii="Times New Roman" w:hAnsi="Times New Roman"/>
                <w:b/>
                <w:bCs/>
                <w:color w:val="000000"/>
                <w:sz w:val="16"/>
                <w:szCs w:val="16"/>
              </w:rPr>
            </w:r>
          </w:p>
        </w:tc>
        <w:tc>
          <w:tcPr>
            <w:tcW w:w="1842" w:type="dxa"/>
            <w:tcBorders>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Предусмотрено паспортом</w:t>
            </w:r>
          </w:p>
        </w:tc>
        <w:tc>
          <w:tcPr>
            <w:tcW w:w="1843" w:type="dxa"/>
            <w:tcBorders>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Сводная бюджетная роспись</w:t>
            </w:r>
          </w:p>
        </w:tc>
        <w:tc>
          <w:tcPr>
            <w:tcW w:w="1559" w:type="dxa"/>
            <w:tcBorders>
              <w:left w:val="single" w:sz="4" w:space="0" w:color="000000"/>
              <w:bottom w:val="single" w:sz="4" w:space="0" w:color="000000"/>
            </w:tcBorders>
            <w:vAlign w:val="center"/>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Кассовое исполнение</w:t>
            </w:r>
          </w:p>
        </w:tc>
        <w:tc>
          <w:tcPr>
            <w:tcW w:w="1559" w:type="dxa"/>
            <w:vMerge w:val="continue"/>
            <w:tcBorders>
              <w:left w:val="single" w:sz="4" w:space="0" w:color="000000"/>
              <w:bottom w:val="single" w:sz="4" w:space="0" w:color="000000"/>
            </w:tcBorders>
          </w:tcPr>
          <w:p>
            <w:pPr>
              <w:pStyle w:val="ConsPlusNormal"/>
              <w:widowControl w:val="false"/>
              <w:suppressAutoHyphens w:val="true"/>
              <w:spacing w:before="220" w:after="0"/>
              <w:jc w:val="center"/>
              <w:rPr>
                <w:rFonts w:ascii="Times New Roman" w:hAnsi="Times New Roman" w:cs="Times New Roman"/>
                <w:b/>
                <w:bCs/>
                <w:color w:val="000000"/>
                <w:sz w:val="16"/>
                <w:szCs w:val="16"/>
              </w:rPr>
            </w:pPr>
            <w:r>
              <w:rPr>
                <w:rFonts w:cs="Times New Roman" w:ascii="Times New Roman" w:hAnsi="Times New Roman"/>
                <w:b/>
                <w:bCs/>
                <w:color w:val="000000"/>
                <w:sz w:val="16"/>
                <w:szCs w:val="16"/>
              </w:rPr>
            </w:r>
          </w:p>
        </w:tc>
        <w:tc>
          <w:tcPr>
            <w:tcW w:w="3090" w:type="dxa"/>
            <w:vMerge w:val="continue"/>
            <w:tcBorders>
              <w:left w:val="single" w:sz="4" w:space="0" w:color="000000"/>
              <w:bottom w:val="single" w:sz="4" w:space="0" w:color="000000"/>
              <w:right w:val="single" w:sz="4" w:space="0" w:color="000000"/>
            </w:tcBorders>
          </w:tcPr>
          <w:p>
            <w:pPr>
              <w:pStyle w:val="ConsPlusNormal"/>
              <w:widowControl w:val="false"/>
              <w:suppressAutoHyphens w:val="true"/>
              <w:spacing w:before="220" w:after="0"/>
              <w:jc w:val="center"/>
              <w:rPr>
                <w:rFonts w:ascii="Times New Roman" w:hAnsi="Times New Roman" w:cs="Times New Roman"/>
                <w:b/>
                <w:bCs/>
                <w:color w:val="000000"/>
                <w:sz w:val="16"/>
                <w:szCs w:val="16"/>
              </w:rPr>
            </w:pPr>
            <w:r>
              <w:rPr>
                <w:rFonts w:cs="Times New Roman" w:ascii="Times New Roman" w:hAnsi="Times New Roman"/>
                <w:b/>
                <w:bCs/>
                <w:color w:val="000000"/>
                <w:sz w:val="16"/>
                <w:szCs w:val="16"/>
              </w:rPr>
            </w:r>
          </w:p>
        </w:tc>
      </w:tr>
      <w:tr>
        <w:trPr>
          <w:trHeight w:val="50" w:hRule="atLeast"/>
        </w:trPr>
        <w:tc>
          <w:tcPr>
            <w:tcW w:w="5466"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1</w:t>
            </w:r>
          </w:p>
        </w:tc>
        <w:tc>
          <w:tcPr>
            <w:tcW w:w="1842"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2</w:t>
            </w:r>
          </w:p>
        </w:tc>
        <w:tc>
          <w:tcPr>
            <w:tcW w:w="1843"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3</w:t>
            </w:r>
          </w:p>
        </w:tc>
        <w:tc>
          <w:tcPr>
            <w:tcW w:w="1559"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4</w:t>
            </w:r>
          </w:p>
        </w:tc>
        <w:tc>
          <w:tcPr>
            <w:tcW w:w="1559"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5</w:t>
            </w:r>
          </w:p>
        </w:tc>
        <w:tc>
          <w:tcPr>
            <w:tcW w:w="3090"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6</w:t>
            </w:r>
          </w:p>
        </w:tc>
      </w:tr>
      <w:tr>
        <w:trPr>
          <w:trHeight w:val="117" w:hRule="atLeast"/>
        </w:trPr>
        <w:tc>
          <w:tcPr>
            <w:tcW w:w="5466" w:type="dxa"/>
            <w:tcBorders>
              <w:left w:val="single" w:sz="4" w:space="0" w:color="000000"/>
              <w:bottom w:val="single" w:sz="4" w:space="0" w:color="000000"/>
            </w:tcBorders>
          </w:tcPr>
          <w:p>
            <w:pPr>
              <w:pStyle w:val="Normal"/>
              <w:widowControl w:val="false"/>
              <w:suppressAutoHyphens w:val="true"/>
              <w:spacing w:lineRule="auto" w:line="240" w:before="0" w:after="0"/>
              <w:jc w:val="both"/>
              <w:rPr>
                <w:rFonts w:ascii="Times New Roman" w:hAnsi="Times New Roman"/>
                <w:i/>
                <w:i/>
                <w:sz w:val="16"/>
                <w:szCs w:val="16"/>
              </w:rPr>
            </w:pPr>
            <w:r>
              <w:rPr>
                <w:rFonts w:eastAsia="" w:cs="Times New Roman"/>
                <w:kern w:val="0"/>
                <w:sz w:val="16"/>
                <w:szCs w:val="16"/>
                <w:lang w:val="ru-RU" w:eastAsia="en-US" w:bidi="ar-SA"/>
              </w:rPr>
              <w:t>Комплекс процессных мероприятий «</w:t>
            </w:r>
            <w:r>
              <w:rPr>
                <w:rFonts w:eastAsia="" w:cs="Tinos"/>
                <w:b/>
                <w:bCs/>
                <w:i w:val="false"/>
                <w:iCs w:val="false"/>
                <w:caps w:val="false"/>
                <w:smallCaps w:val="false"/>
                <w:color w:val="000000"/>
                <w:spacing w:val="0"/>
                <w:kern w:val="0"/>
                <w:sz w:val="16"/>
                <w:szCs w:val="16"/>
                <w:shd w:fill="auto" w:val="clear"/>
                <w:lang w:val="ru-RU" w:eastAsia="en-US" w:bidi="ar-SA"/>
              </w:rPr>
              <w:t>Создание условий для обеспечения населения качественными услугами жилищно-коммунального хозяйств</w:t>
            </w:r>
            <w:r>
              <w:rPr>
                <w:rFonts w:eastAsia="" w:cs="Times New Roman"/>
                <w:kern w:val="0"/>
                <w:sz w:val="16"/>
                <w:szCs w:val="16"/>
                <w:lang w:val="ru-RU" w:eastAsia="en-US" w:bidi="ar-SA"/>
              </w:rPr>
              <w:t>»</w:t>
            </w:r>
          </w:p>
        </w:tc>
        <w:tc>
          <w:tcPr>
            <w:tcW w:w="1842" w:type="dxa"/>
            <w:tcBorders>
              <w:left w:val="single" w:sz="4" w:space="0" w:color="000000"/>
              <w:bottom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center"/>
              <w:rPr>
                <w:b/>
                <w:bCs/>
                <w:sz w:val="16"/>
                <w:szCs w:val="16"/>
              </w:rPr>
            </w:pPr>
            <w:r>
              <w:rPr>
                <w:rFonts w:cs="Tinos"/>
                <w:b/>
                <w:bCs/>
                <w:sz w:val="16"/>
                <w:szCs w:val="16"/>
                <w:shd w:fill="auto" w:val="clear"/>
              </w:rPr>
              <w:t>28485,000</w:t>
            </w:r>
          </w:p>
        </w:tc>
        <w:tc>
          <w:tcPr>
            <w:tcW w:w="1843"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559" w:type="dxa"/>
            <w:tcBorders>
              <w:left w:val="single" w:sz="4" w:space="0" w:color="000000"/>
              <w:bottom w:val="single" w:sz="4" w:space="0" w:color="000000"/>
            </w:tcBorders>
          </w:tcPr>
          <w:p>
            <w:pPr>
              <w:pStyle w:val="ListParagraph"/>
              <w:widowControl w:val="false"/>
              <w:suppressAutoHyphens w:val="true"/>
              <w:spacing w:lineRule="auto" w:line="240" w:before="0" w:after="0"/>
              <w:ind w:left="0" w:hanging="0"/>
              <w:contextualSpacing/>
              <w:jc w:val="center"/>
              <w:rPr>
                <w:rFonts w:ascii="Times New Roman" w:hAnsi="Times New Roman"/>
                <w:b/>
                <w:bCs/>
                <w:sz w:val="16"/>
                <w:szCs w:val="16"/>
              </w:rPr>
            </w:pPr>
            <w:r>
              <w:rPr>
                <w:b/>
                <w:bCs/>
                <w:sz w:val="16"/>
                <w:szCs w:val="16"/>
              </w:rPr>
              <w:t>28466,960</w:t>
            </w:r>
          </w:p>
        </w:tc>
        <w:tc>
          <w:tcPr>
            <w:tcW w:w="1559"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t>99,9</w:t>
            </w:r>
          </w:p>
        </w:tc>
        <w:tc>
          <w:tcPr>
            <w:tcW w:w="3090" w:type="dxa"/>
            <w:tcBorders>
              <w:left w:val="single" w:sz="4" w:space="0" w:color="000000"/>
              <w:bottom w:val="single" w:sz="4" w:space="0" w:color="000000"/>
              <w:right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c>
      </w:tr>
    </w:tbl>
    <w:p>
      <w:pPr>
        <w:pStyle w:val="ConsPlusNormal"/>
        <w:ind w:left="-57" w:right="-57" w:hanging="0"/>
        <w:jc w:val="center"/>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ConsPlusNormal"/>
        <w:ind w:left="-57" w:right="-57" w:firstLine="540"/>
        <w:jc w:val="center"/>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ConsPlusNormal"/>
        <w:ind w:left="-57" w:right="-57" w:firstLine="540"/>
        <w:jc w:val="center"/>
        <w:rPr>
          <w:rFonts w:ascii="Times New Roman" w:hAnsi="Times New Roman" w:cs="Times New Roman"/>
          <w:bCs/>
          <w:color w:val="000000"/>
          <w:sz w:val="24"/>
          <w:szCs w:val="24"/>
        </w:rPr>
      </w:pPr>
      <w:r>
        <w:rPr>
          <w:rFonts w:cs="Times New Roman" w:ascii="Times New Roman" w:hAnsi="Times New Roman"/>
          <w:bCs/>
          <w:color w:val="000000"/>
          <w:sz w:val="24"/>
          <w:szCs w:val="24"/>
        </w:rPr>
        <w:t>5. Информация о рисках комплекса процессных мероприятий</w:t>
      </w:r>
      <w:r>
        <w:rPr>
          <w:rFonts w:ascii="Times New Roman" w:hAnsi="Times New Roman"/>
          <w:b/>
          <w:sz w:val="24"/>
          <w:szCs w:val="24"/>
          <w:vertAlign w:val="superscript"/>
        </w:rPr>
        <w:t>16</w:t>
      </w:r>
    </w:p>
    <w:p>
      <w:pPr>
        <w:pStyle w:val="ConsPlusNormal"/>
        <w:ind w:left="-57" w:right="-57" w:firstLine="540"/>
        <w:jc w:val="center"/>
        <w:rPr>
          <w:rFonts w:ascii="Times New Roman" w:hAnsi="Times New Roman" w:cs="Times New Roman"/>
          <w:bCs/>
          <w:color w:val="000000"/>
          <w:sz w:val="16"/>
          <w:szCs w:val="16"/>
        </w:rPr>
      </w:pPr>
      <w:r>
        <w:rPr>
          <w:rFonts w:cs="Times New Roman" w:ascii="Times New Roman" w:hAnsi="Times New Roman"/>
          <w:bCs/>
          <w:color w:val="000000"/>
          <w:sz w:val="16"/>
          <w:szCs w:val="16"/>
        </w:rPr>
      </w:r>
    </w:p>
    <w:tbl>
      <w:tblPr>
        <w:tblStyle w:val="aa"/>
        <w:tblW w:w="15360" w:type="dxa"/>
        <w:jc w:val="left"/>
        <w:tblInd w:w="0" w:type="dxa"/>
        <w:tblLayout w:type="fixed"/>
        <w:tblCellMar>
          <w:top w:w="55" w:type="dxa"/>
          <w:left w:w="108" w:type="dxa"/>
          <w:bottom w:w="55" w:type="dxa"/>
          <w:right w:w="108" w:type="dxa"/>
        </w:tblCellMar>
        <w:tblLook w:noVBand="1" w:val="04a0" w:noHBand="0" w:lastColumn="0" w:firstColumn="1" w:lastRow="0" w:firstRow="1"/>
      </w:tblPr>
      <w:tblGrid>
        <w:gridCol w:w="703"/>
        <w:gridCol w:w="3218"/>
        <w:gridCol w:w="1963"/>
        <w:gridCol w:w="1960"/>
        <w:gridCol w:w="1760"/>
        <w:gridCol w:w="1711"/>
        <w:gridCol w:w="1697"/>
        <w:gridCol w:w="2346"/>
      </w:tblGrid>
      <w:tr>
        <w:trPr/>
        <w:tc>
          <w:tcPr>
            <w:tcW w:w="703"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ascii="Times New Roman" w:hAnsi="Times New Roman"/>
                <w:b/>
                <w:kern w:val="0"/>
                <w:sz w:val="16"/>
                <w:szCs w:val="16"/>
                <w:lang w:val="ru-RU" w:eastAsia="en-US" w:bidi="ar-SA"/>
              </w:rPr>
              <w:t xml:space="preserve">№ </w:t>
            </w:r>
            <w:r>
              <w:rPr>
                <w:rFonts w:eastAsia="" w:ascii="Times New Roman" w:hAnsi="Times New Roman"/>
                <w:b/>
                <w:kern w:val="0"/>
                <w:sz w:val="16"/>
                <w:szCs w:val="16"/>
                <w:lang w:val="ru-RU" w:eastAsia="en-US" w:bidi="ar-SA"/>
              </w:rPr>
              <w:t>п/п</w:t>
            </w:r>
          </w:p>
        </w:tc>
        <w:tc>
          <w:tcPr>
            <w:tcW w:w="3218"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Наименование показателя задачи, мероприятия (результата)</w:t>
            </w:r>
          </w:p>
        </w:tc>
        <w:tc>
          <w:tcPr>
            <w:tcW w:w="1963"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Описание риска</w:t>
            </w:r>
          </w:p>
        </w:tc>
        <w:tc>
          <w:tcPr>
            <w:tcW w:w="1960"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Оценка возможных последствий риска</w:t>
            </w:r>
          </w:p>
        </w:tc>
        <w:tc>
          <w:tcPr>
            <w:tcW w:w="1760"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Уровень риска</w:t>
            </w:r>
          </w:p>
        </w:tc>
        <w:tc>
          <w:tcPr>
            <w:tcW w:w="1711"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Планируемые меры реагирования</w:t>
            </w:r>
          </w:p>
        </w:tc>
        <w:tc>
          <w:tcPr>
            <w:tcW w:w="1697" w:type="dxa"/>
            <w:tcBorders>
              <w:top w:val="single" w:sz="4" w:space="0" w:color="000000"/>
              <w:left w:val="single" w:sz="4" w:space="0" w:color="000000"/>
              <w:bottom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Срок выполнения меры реагирования</w:t>
            </w:r>
          </w:p>
        </w:tc>
        <w:tc>
          <w:tcPr>
            <w:tcW w:w="2346" w:type="dxa"/>
            <w:tcBorders>
              <w:top w:val="single" w:sz="4" w:space="0" w:color="000000"/>
              <w:left w:val="single" w:sz="4" w:space="0" w:color="000000"/>
              <w:bottom w:val="single" w:sz="4" w:space="0" w:color="000000"/>
              <w:right w:val="single" w:sz="4" w:space="0" w:color="000000"/>
            </w:tcBorders>
          </w:tcPr>
          <w:p>
            <w:pPr>
              <w:pStyle w:val="ConsPlusNormal"/>
              <w:widowControl w:val="false"/>
              <w:suppressAutoHyphens w:val="true"/>
              <w:spacing w:before="0" w:after="0"/>
              <w:ind w:left="-57" w:right="-57" w:hanging="0"/>
              <w:jc w:val="center"/>
              <w:rPr>
                <w:rFonts w:ascii="Times New Roman" w:hAnsi="Times New Roman" w:cs="Times New Roman"/>
                <w:b/>
                <w:bCs/>
                <w:color w:val="000000"/>
                <w:sz w:val="16"/>
                <w:szCs w:val="16"/>
              </w:rPr>
            </w:pPr>
            <w:r>
              <w:rPr>
                <w:rFonts w:eastAsia="" w:cs="Times New Roman" w:ascii="Times New Roman" w:hAnsi="Times New Roman"/>
                <w:b/>
                <w:bCs/>
                <w:color w:val="000000"/>
                <w:kern w:val="0"/>
                <w:sz w:val="16"/>
                <w:szCs w:val="16"/>
                <w:lang w:val="ru-RU" w:eastAsia="en-US" w:bidi="ar-SA"/>
              </w:rPr>
              <w:t>Ответственный за принятие мер реагирования (ФИО, должность, организация)</w:t>
            </w:r>
          </w:p>
        </w:tc>
      </w:tr>
      <w:tr>
        <w:trPr/>
        <w:tc>
          <w:tcPr>
            <w:tcW w:w="703"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20"/>
              </w:rPr>
            </w:pPr>
            <w:r>
              <w:rPr>
                <w:rFonts w:cs="Times New Roman" w:ascii="Times New Roman" w:hAnsi="Times New Roman"/>
                <w:bCs/>
                <w:color w:val="000000"/>
                <w:sz w:val="20"/>
              </w:rPr>
              <w:t>1</w:t>
            </w:r>
          </w:p>
        </w:tc>
        <w:tc>
          <w:tcPr>
            <w:tcW w:w="3218" w:type="dxa"/>
            <w:tcBorders>
              <w:left w:val="single" w:sz="4" w:space="0" w:color="000000"/>
              <w:bottom w:val="single" w:sz="4" w:space="0" w:color="000000"/>
            </w:tcBorders>
          </w:tcPr>
          <w:p>
            <w:pPr>
              <w:pStyle w:val="Normal"/>
              <w:widowControl w:val="false"/>
              <w:suppressAutoHyphens w:val="true"/>
              <w:spacing w:lineRule="auto" w:line="240" w:before="0" w:after="0"/>
              <w:jc w:val="both"/>
              <w:rPr>
                <w:sz w:val="18"/>
                <w:szCs w:val="18"/>
              </w:rPr>
            </w:pPr>
            <w:r>
              <w:rPr>
                <w:rFonts w:eastAsia="" w:cs="Tinos"/>
                <w:b/>
                <w:i w:val="false"/>
                <w:iCs w:val="false"/>
                <w:caps w:val="false"/>
                <w:smallCaps w:val="false"/>
                <w:spacing w:val="0"/>
                <w:kern w:val="0"/>
                <w:sz w:val="18"/>
                <w:szCs w:val="18"/>
                <w:shd w:fill="auto" w:val="clear"/>
                <w:lang w:val="ru-RU" w:eastAsia="en-US" w:bidi="ar-SA"/>
              </w:rPr>
              <w:t>Создание условий для обеспечения населения качественными услугами жилищно-коммунального хозяйств</w:t>
            </w:r>
          </w:p>
        </w:tc>
        <w:tc>
          <w:tcPr>
            <w:tcW w:w="1963" w:type="dxa"/>
            <w:tcBorders>
              <w:left w:val="single" w:sz="4" w:space="0" w:color="000000"/>
              <w:bottom w:val="single" w:sz="4" w:space="0" w:color="000000"/>
            </w:tcBorders>
          </w:tcPr>
          <w:p>
            <w:pPr>
              <w:pStyle w:val="Normal"/>
              <w:widowControl w:val="false"/>
              <w:spacing w:lineRule="auto" w:line="240" w:before="0" w:after="0"/>
              <w:jc w:val="both"/>
              <w:rPr>
                <w:sz w:val="18"/>
                <w:szCs w:val="18"/>
              </w:rPr>
            </w:pPr>
            <w:r>
              <w:rPr>
                <w:sz w:val="18"/>
                <w:szCs w:val="18"/>
              </w:rPr>
              <w:t>Финансовые риски. Связаны с сокращением бюджетного финансирования, выделенного на выполнение муниципальной программы, удорожанием стоимости товаров (услуг), непрогнозируемыми инфляционными процессами.</w:t>
            </w:r>
          </w:p>
        </w:tc>
        <w:tc>
          <w:tcPr>
            <w:tcW w:w="1960"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8"/>
                <w:szCs w:val="18"/>
              </w:rPr>
            </w:pPr>
            <w:r>
              <w:rPr>
                <w:rFonts w:cs="Times New Roman" w:ascii="Times New Roman" w:hAnsi="Times New Roman"/>
                <w:bCs/>
                <w:color w:val="000000"/>
                <w:sz w:val="18"/>
                <w:szCs w:val="18"/>
              </w:rPr>
              <w:t>Увеличение сроков исполнения программы</w:t>
            </w:r>
          </w:p>
        </w:tc>
        <w:tc>
          <w:tcPr>
            <w:tcW w:w="1760"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8"/>
                <w:szCs w:val="18"/>
              </w:rPr>
            </w:pPr>
            <w:r>
              <w:rPr>
                <w:rFonts w:cs="Times New Roman" w:ascii="Times New Roman" w:hAnsi="Times New Roman"/>
                <w:bCs/>
                <w:color w:val="000000"/>
                <w:sz w:val="18"/>
                <w:szCs w:val="18"/>
              </w:rPr>
              <w:t>Низкий</w:t>
            </w:r>
          </w:p>
        </w:tc>
        <w:tc>
          <w:tcPr>
            <w:tcW w:w="1711" w:type="dxa"/>
            <w:tcBorders>
              <w:left w:val="single" w:sz="4" w:space="0" w:color="000000"/>
              <w:bottom w:val="single" w:sz="4" w:space="0" w:color="000000"/>
            </w:tcBorders>
          </w:tcPr>
          <w:p>
            <w:pPr>
              <w:pStyle w:val="Normal"/>
              <w:widowControl w:val="false"/>
              <w:spacing w:lineRule="auto" w:line="240" w:before="0" w:after="0"/>
              <w:rPr>
                <w:sz w:val="18"/>
                <w:szCs w:val="18"/>
              </w:rPr>
            </w:pPr>
            <w:r>
              <w:rPr>
                <w:rFonts w:cs="Times New Roman"/>
                <w:sz w:val="18"/>
                <w:szCs w:val="18"/>
              </w:rPr>
              <w:t>Определение первоочередных (приоритетных) направлений, увязанных с достижением установленных целевых показателей, в пределах утвержденного (доведенного) объема финансирования по муниципальной программе (перераспределение финансовых ресурсов);</w:t>
            </w:r>
          </w:p>
          <w:p>
            <w:pPr>
              <w:pStyle w:val="Normal"/>
              <w:widowControl w:val="false"/>
              <w:spacing w:lineRule="auto" w:line="240" w:before="0" w:after="0"/>
              <w:rPr>
                <w:sz w:val="18"/>
                <w:szCs w:val="18"/>
              </w:rPr>
            </w:pPr>
            <w:r>
              <w:rPr>
                <w:sz w:val="18"/>
                <w:szCs w:val="18"/>
              </w:rPr>
              <w:t>Планирование бюджетных расходов с применением методик оценки эффективности бюджетных расходов</w:t>
            </w:r>
          </w:p>
        </w:tc>
        <w:tc>
          <w:tcPr>
            <w:tcW w:w="1697" w:type="dxa"/>
            <w:tcBorders>
              <w:left w:val="single" w:sz="4" w:space="0" w:color="000000"/>
              <w:bottom w:val="single" w:sz="4" w:space="0" w:color="000000"/>
            </w:tcBorders>
          </w:tcPr>
          <w:p>
            <w:pPr>
              <w:pStyle w:val="ConsPlusNormal"/>
              <w:widowControl w:val="false"/>
              <w:suppressAutoHyphens w:val="true"/>
              <w:spacing w:before="0" w:after="0"/>
              <w:jc w:val="center"/>
              <w:rPr>
                <w:rFonts w:ascii="Times New Roman" w:hAnsi="Times New Roman" w:cs="Times New Roman"/>
                <w:bCs/>
                <w:color w:val="000000"/>
                <w:sz w:val="18"/>
                <w:szCs w:val="18"/>
              </w:rPr>
            </w:pPr>
            <w:r>
              <w:rPr>
                <w:rFonts w:cs="Times New Roman" w:ascii="Times New Roman" w:hAnsi="Times New Roman"/>
                <w:bCs/>
                <w:color w:val="000000"/>
                <w:sz w:val="18"/>
                <w:szCs w:val="18"/>
              </w:rPr>
              <w:t>3 дня</w:t>
            </w:r>
          </w:p>
        </w:tc>
        <w:tc>
          <w:tcPr>
            <w:tcW w:w="2346" w:type="dxa"/>
            <w:tcBorders>
              <w:left w:val="single" w:sz="4" w:space="0" w:color="000000"/>
              <w:bottom w:val="single" w:sz="4" w:space="0" w:color="000000"/>
              <w:right w:val="single" w:sz="4" w:space="0" w:color="000000"/>
            </w:tcBorders>
          </w:tcPr>
          <w:p>
            <w:pPr>
              <w:pStyle w:val="Normal"/>
              <w:widowControl w:val="false"/>
              <w:tabs>
                <w:tab w:val="clear" w:pos="708"/>
                <w:tab w:val="left" w:pos="1853" w:leader="none"/>
              </w:tabs>
              <w:suppressAutoHyphens w:val="true"/>
              <w:spacing w:lineRule="atLeast" w:line="0" w:before="0" w:after="0"/>
              <w:ind w:left="0" w:right="0" w:hanging="0"/>
              <w:jc w:val="both"/>
              <w:rPr>
                <w:sz w:val="18"/>
                <w:szCs w:val="18"/>
              </w:rPr>
            </w:pPr>
            <w:r>
              <w:rPr>
                <w:rFonts w:cs="Tinos"/>
                <w:kern w:val="0"/>
                <w:sz w:val="18"/>
                <w:szCs w:val="18"/>
                <w:highlight w:val="white"/>
                <w:shd w:fill="FFD821" w:val="clear"/>
                <w:lang w:val="ru-RU" w:bidi="ar-SA"/>
              </w:rPr>
              <w:t>Коровин В.Ю. -  заместитель главы администрации района по обеспечению жизнедеятельности района</w:t>
            </w:r>
          </w:p>
        </w:tc>
      </w:tr>
    </w:tbl>
    <w:p>
      <w:pPr>
        <w:pStyle w:val="Normal"/>
        <w:tabs>
          <w:tab w:val="clear" w:pos="708"/>
          <w:tab w:val="left" w:pos="0" w:leader="none"/>
        </w:tabs>
        <w:spacing w:lineRule="auto" w:line="240" w:before="0" w:after="0"/>
        <w:jc w:val="both"/>
        <w:rPr>
          <w:rFonts w:ascii="Times New Roman" w:hAnsi="Times New Roman"/>
          <w:sz w:val="28"/>
          <w:szCs w:val="28"/>
        </w:rPr>
      </w:pPr>
      <w:r>
        <w:rPr>
          <w:sz w:val="28"/>
          <w:szCs w:val="28"/>
        </w:rPr>
      </w:r>
    </w:p>
    <w:sectPr>
      <w:headerReference w:type="default" r:id="rId5"/>
      <w:headerReference w:type="first" r:id="rId6"/>
      <w:footnotePr>
        <w:numFmt w:val="decimal"/>
      </w:footnotePr>
      <w:type w:val="nextPage"/>
      <w:pgSz w:orient="landscape" w:w="16838" w:h="11906"/>
      <w:pgMar w:left="1134" w:right="1134" w:gutter="0" w:header="1134" w:top="1648"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PT Astra Serif">
    <w:charset w:val="01"/>
    <w:family w:val="roman"/>
    <w:pitch w:val="default"/>
  </w:font>
  <w:font w:name="Arial">
    <w:charset w:val="01"/>
    <w:family w:val="roman"/>
    <w:pitch w:val="default"/>
  </w:font>
  <w:font w:name="Courier New">
    <w:charset w:val="01"/>
    <w:family w:val="roman"/>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32"/>
        <w:widowControl w:val="false"/>
        <w:spacing w:before="0" w:after="0"/>
        <w:rPr>
          <w:rFonts w:ascii="Times New Roman" w:hAnsi="Times New Roman"/>
          <w:sz w:val="16"/>
          <w:szCs w:val="16"/>
        </w:rPr>
      </w:pPr>
      <w:r>
        <w:rPr>
          <w:rStyle w:val="Style17"/>
        </w:rPr>
        <w:footnoteRef/>
      </w:r>
      <w:r>
        <w:rPr>
          <w:sz w:val="16"/>
          <w:szCs w:val="16"/>
        </w:rPr>
        <w:tab/>
        <w:t xml:space="preserve"> </w:t>
      </w:r>
      <w:r>
        <w:rPr>
          <w:sz w:val="16"/>
          <w:szCs w:val="16"/>
        </w:rPr>
        <w:t>Здесь и далее используемая в разделах отчета цветовая индикация соответствует следующим статусам реализации муниципальной программы, ее структурного элемента, достижения или выполнения параметра муниципальной программы, ее структурного элемента (далее – статус):</w:t>
      </w:r>
    </w:p>
    <w:p>
      <w:pPr>
        <w:pStyle w:val="Style32"/>
        <w:widowControl w:val="false"/>
        <w:spacing w:before="0" w:after="0"/>
        <w:rPr>
          <w:rFonts w:ascii="Times New Roman" w:hAnsi="Times New Roman"/>
          <w:sz w:val="16"/>
          <w:szCs w:val="16"/>
        </w:rPr>
      </w:pPr>
      <w:r>
        <w:rPr>
          <w:sz w:val="16"/>
          <w:szCs w:val="16"/>
        </w:rPr>
        <w:t>зеленый индикатор - отсутствие отклонений, проблемы и риски отсутствуют, дополнительные решения не требуются;</w:t>
      </w:r>
    </w:p>
    <w:p>
      <w:pPr>
        <w:pStyle w:val="Style32"/>
        <w:widowControl w:val="false"/>
        <w:spacing w:before="0" w:after="0"/>
        <w:rPr>
          <w:rFonts w:ascii="Times New Roman" w:hAnsi="Times New Roman"/>
          <w:sz w:val="16"/>
          <w:szCs w:val="16"/>
        </w:rPr>
      </w:pPr>
      <w:r>
        <w:rPr>
          <w:sz w:val="16"/>
          <w:szCs w:val="16"/>
        </w:rPr>
        <w:t>желтый индикатор - наличие некритических отклонений, выявлены проблемы и риски, решение которых находится в зоне полномочий ответственного исполнителя (соисполнителя, участника) муниципальной программы;</w:t>
      </w:r>
    </w:p>
    <w:p>
      <w:pPr>
        <w:pStyle w:val="Style32"/>
        <w:widowControl w:val="false"/>
        <w:spacing w:before="0" w:after="0"/>
        <w:rPr>
          <w:rFonts w:ascii="Times New Roman" w:hAnsi="Times New Roman"/>
          <w:sz w:val="16"/>
          <w:szCs w:val="16"/>
        </w:rPr>
      </w:pPr>
      <w:r>
        <w:rPr>
          <w:sz w:val="16"/>
          <w:szCs w:val="16"/>
        </w:rPr>
        <w:t>красный индикатор - наличие критических отклонений, выявлены проблемы и риски, решение которых находится вне зоны полномочий ответственного исполнителя (соисполнителя, участника) муниципальной программы, сведения не представлены. В случае наличия критических отклонений, проблем и рисков требуется подготовка проекта решения в соответствии с уровнем контроля согласно утвержденному паспорту, соответствующему муниципальной программе, паспорту ее структурного элемента.</w:t>
      </w:r>
    </w:p>
    <w:p>
      <w:pPr>
        <w:pStyle w:val="Style32"/>
        <w:widowControl w:val="false"/>
        <w:spacing w:before="0" w:after="0"/>
        <w:rPr>
          <w:rFonts w:ascii="Times New Roman" w:hAnsi="Times New Roman"/>
          <w:sz w:val="16"/>
          <w:szCs w:val="16"/>
        </w:rPr>
      </w:pPr>
      <w:r>
        <w:rPr>
          <w:sz w:val="16"/>
          <w:szCs w:val="16"/>
        </w:rPr>
        <w:t>1) В случае если параметр проекта, достигнут позже плановой даты, при этом фактическое значение больше или равно плановому значению и достигнутый параметр соответствует заявленной характеристике, для соответствующего параметра указывается зеленый индикатор.</w:t>
      </w:r>
    </w:p>
    <w:p>
      <w:pPr>
        <w:pStyle w:val="Style32"/>
        <w:widowControl w:val="false"/>
        <w:spacing w:before="0" w:after="0"/>
        <w:rPr>
          <w:rFonts w:ascii="Times New Roman" w:hAnsi="Times New Roman"/>
          <w:sz w:val="16"/>
          <w:szCs w:val="16"/>
        </w:rPr>
      </w:pPr>
      <w:r>
        <w:rPr>
          <w:sz w:val="16"/>
          <w:szCs w:val="16"/>
        </w:rPr>
        <w:t>2) В случае если исполнение параметра проекта носит прогнозный характер, для такого параметра указывается соответствующий цветовой индикатор в заштрихованном виде. Если значение параметра проекта на отчетный период меньше, чем плановое, то тип исполнения является прогнозным.</w:t>
      </w:r>
    </w:p>
    <w:p>
      <w:pPr>
        <w:pStyle w:val="Style32"/>
        <w:widowControl w:val="false"/>
        <w:spacing w:before="0" w:after="0"/>
        <w:rPr>
          <w:rFonts w:ascii="Times New Roman" w:hAnsi="Times New Roman"/>
          <w:sz w:val="16"/>
          <w:szCs w:val="16"/>
        </w:rPr>
      </w:pPr>
      <w:r>
        <w:rPr>
          <w:sz w:val="16"/>
          <w:szCs w:val="16"/>
        </w:rPr>
        <w:t>3) Статус и соответствующая ему цветовая индикация устанавливается в системе «Электронный бюджет» на основании информации о существующих отклонениях (или их отсутствии) фактических и прогнозных исполнений параметров проекта от их плановых значений.</w:t>
      </w:r>
    </w:p>
  </w:footnote>
  <w:footnote w:id="3">
    <w:p>
      <w:pPr>
        <w:pStyle w:val="Style32"/>
        <w:widowControl w:val="false"/>
        <w:spacing w:before="0" w:after="0"/>
        <w:jc w:val="both"/>
        <w:rPr>
          <w:rFonts w:ascii="Times New Roman" w:hAnsi="Times New Roman"/>
          <w:sz w:val="16"/>
          <w:szCs w:val="16"/>
        </w:rPr>
      </w:pPr>
      <w:r>
        <w:rPr>
          <w:rStyle w:val="Style17"/>
        </w:rPr>
        <w:footnoteRef/>
      </w:r>
      <w:r>
        <w:rPr>
          <w:rStyle w:val="Style17"/>
          <w:sz w:val="16"/>
          <w:szCs w:val="16"/>
        </w:rPr>
        <w:tab/>
        <w:t xml:space="preserve"> </w:t>
      </w:r>
      <w:r>
        <w:rPr>
          <w:sz w:val="16"/>
          <w:szCs w:val="16"/>
        </w:rPr>
        <w:t>Указывается на основании данных паспорта муниципальной программы, паспорта ее структурного элемента.</w:t>
      </w:r>
    </w:p>
  </w:footnote>
  <w:footnote w:id="4">
    <w:p>
      <w:pPr>
        <w:pStyle w:val="Style32"/>
        <w:widowControl w:val="false"/>
        <w:spacing w:before="0" w:after="0"/>
        <w:rPr>
          <w:rFonts w:ascii="Times New Roman" w:hAnsi="Times New Roman"/>
          <w:sz w:val="16"/>
          <w:szCs w:val="16"/>
        </w:rPr>
      </w:pPr>
      <w:r>
        <w:rPr>
          <w:rStyle w:val="Style17"/>
        </w:rPr>
        <w:footnoteRef/>
      </w:r>
      <w:r>
        <w:rPr>
          <w:sz w:val="16"/>
          <w:szCs w:val="16"/>
        </w:rPr>
        <w:tab/>
        <w:t xml:space="preserve"> </w:t>
      </w:r>
      <w:r>
        <w:rPr>
          <w:sz w:val="16"/>
          <w:szCs w:val="16"/>
        </w:rPr>
        <w:t>Здесь и далее в случае если рост значения показателя свидетельствует о положительной динамике, указывается «прогрессирующий» (далее - П); если снижение значения показателя свидетельствует о положительной динамике – «регрессирующий» (далее - Р).</w:t>
      </w:r>
    </w:p>
  </w:footnote>
  <w:footnote w:id="5">
    <w:p>
      <w:pPr>
        <w:pStyle w:val="Style32"/>
        <w:widowControl w:val="false"/>
        <w:spacing w:before="0" w:after="0"/>
        <w:rPr>
          <w:rFonts w:ascii="Times New Roman" w:hAnsi="Times New Roman"/>
          <w:sz w:val="16"/>
          <w:szCs w:val="16"/>
        </w:rPr>
      </w:pPr>
      <w:r>
        <w:rPr>
          <w:rStyle w:val="Style17"/>
        </w:rPr>
        <w:footnoteRef/>
      </w:r>
      <w:r>
        <w:rPr>
          <w:sz w:val="16"/>
          <w:szCs w:val="16"/>
        </w:rPr>
        <w:tab/>
        <w:t xml:space="preserve"> </w:t>
      </w:r>
      <w:r>
        <w:rPr>
          <w:sz w:val="16"/>
          <w:szCs w:val="16"/>
        </w:rPr>
        <w:t>Здесь и далее фактическое значение на конец отчетного периода не заполняется, если заполнено прогнозное значение на конец отчетного периода. Если фактическое значение на конец отчетного периода заполнено, прогнозное значение не заполняется.</w:t>
      </w:r>
    </w:p>
  </w:footnote>
  <w:footnote w:id="6">
    <w:p>
      <w:pPr>
        <w:pStyle w:val="Style32"/>
        <w:widowControl w:val="false"/>
        <w:spacing w:before="0" w:after="0"/>
        <w:rPr>
          <w:rFonts w:ascii="Times New Roman" w:hAnsi="Times New Roman"/>
          <w:sz w:val="16"/>
          <w:szCs w:val="16"/>
        </w:rPr>
      </w:pPr>
      <w:r>
        <w:rPr>
          <w:rStyle w:val="Style17"/>
        </w:rPr>
        <w:footnoteRef/>
      </w:r>
      <w:r>
        <w:rPr>
          <w:sz w:val="16"/>
          <w:szCs w:val="16"/>
        </w:rPr>
        <w:tab/>
        <w:t xml:space="preserve"> </w:t>
      </w:r>
      <w:r>
        <w:rPr>
          <w:sz w:val="16"/>
          <w:szCs w:val="16"/>
        </w:rPr>
        <w:t>Не указывается в рамках годового отчета о ходе реализации муниципальной программы.</w:t>
      </w:r>
    </w:p>
  </w:footnote>
  <w:footnote w:id="7">
    <w:p>
      <w:pPr>
        <w:pStyle w:val="Style32"/>
        <w:widowControl w:val="false"/>
        <w:spacing w:before="0" w:after="0"/>
        <w:jc w:val="both"/>
        <w:rPr/>
      </w:pPr>
      <w:r>
        <w:rPr>
          <w:rStyle w:val="Style17"/>
        </w:rPr>
        <w:footnoteRef/>
      </w:r>
      <w:r>
        <w:rPr>
          <w:rStyle w:val="Style17"/>
          <w:sz w:val="16"/>
          <w:szCs w:val="16"/>
        </w:rPr>
        <w:tab/>
        <w:t xml:space="preserve"> </w:t>
      </w:r>
      <w:r>
        <w:rPr>
          <w:sz w:val="16"/>
          <w:szCs w:val="16"/>
        </w:rPr>
        <w:t>Указываются обоснования наличия отрицательных отклонений фактических/прогнозных значений за отчетный период относительно планового значения на отчетный период, а также наличия отрицательных отклонений прогнозных значений на конец текущего года относительно планового значений на конец текущего года.</w:t>
      </w:r>
    </w:p>
  </w:footnote>
  <w:footnote w:id="8">
    <w:p>
      <w:pPr>
        <w:pStyle w:val="Style32"/>
        <w:widowControl w:val="false"/>
        <w:spacing w:lineRule="auto" w:line="240" w:before="0" w:after="0"/>
        <w:rPr/>
      </w:pPr>
      <w:r>
        <w:rPr>
          <w:rStyle w:val="Style17"/>
        </w:rPr>
        <w:footnoteRef/>
      </w:r>
      <w:r>
        <w:rPr>
          <w:sz w:val="16"/>
        </w:rPr>
        <w:tab/>
        <w:t xml:space="preserve"> </w:t>
      </w:r>
      <w:r>
        <w:rPr>
          <w:sz w:val="16"/>
          <w:szCs w:val="16"/>
        </w:rPr>
        <w:t>Заполняется при наличии соответствующих показателей в паспорте муниципальной  программы с учетом выбранной периодичности наблюдения.</w:t>
      </w:r>
    </w:p>
  </w:footnote>
  <w:footnote w:id="9">
    <w:p>
      <w:pPr>
        <w:pStyle w:val="Style32"/>
        <w:widowControl w:val="false"/>
        <w:spacing w:before="0" w:after="0"/>
        <w:rPr/>
      </w:pPr>
      <w:r>
        <w:rPr>
          <w:rStyle w:val="Style17"/>
        </w:rPr>
        <w:footnoteRef/>
      </w:r>
      <w:r>
        <w:rPr>
          <w:rStyle w:val="Style17"/>
          <w:sz w:val="16"/>
          <w:szCs w:val="16"/>
        </w:rPr>
        <w:tab/>
        <w:t xml:space="preserve"> </w:t>
      </w:r>
      <w:r>
        <w:rPr>
          <w:sz w:val="16"/>
          <w:szCs w:val="16"/>
        </w:rPr>
        <w:t>Здесь и далее – за исключением внебюджетных источников, для которых процент исполнения рассчитывается как (7)/(3)*100.</w:t>
      </w:r>
    </w:p>
  </w:footnote>
  <w:footnote w:id="10">
    <w:p>
      <w:pPr>
        <w:pStyle w:val="Style32"/>
        <w:widowControl w:val="false"/>
        <w:spacing w:lineRule="auto" w:line="240" w:before="0" w:after="0"/>
        <w:rPr/>
      </w:pPr>
      <w:r>
        <w:rPr>
          <w:rStyle w:val="Style17"/>
        </w:rPr>
        <w:footnoteRef/>
      </w:r>
      <w:r>
        <w:rPr>
          <w:sz w:val="16"/>
          <w:szCs w:val="16"/>
        </w:rPr>
        <w:tab/>
        <w:t xml:space="preserve"> </w:t>
      </w:r>
      <w:r>
        <w:rPr>
          <w:sz w:val="16"/>
          <w:szCs w:val="16"/>
        </w:rPr>
        <w:t>Приводится в случае отнесения к сфере реализации муниципальной  программы мероприятий (результатов), осуществляемых за счет бюджетных ассигнований по источникам финансирования дефицита  бюджета муниципального округа.</w:t>
      </w:r>
    </w:p>
  </w:footnote>
  <w:footnote w:id="11">
    <w:p>
      <w:pPr>
        <w:pStyle w:val="Style32"/>
        <w:widowControl w:val="false"/>
        <w:spacing w:lineRule="auto" w:line="240" w:before="0" w:after="0"/>
        <w:rPr/>
      </w:pPr>
      <w:r>
        <w:rPr>
          <w:rStyle w:val="Style17"/>
        </w:rPr>
        <w:footnoteRef/>
      </w:r>
      <w:r>
        <w:rPr/>
        <w:tab/>
        <w:t xml:space="preserve"> </w:t>
      </w:r>
      <w:r>
        <w:rPr>
          <w:sz w:val="16"/>
          <w:szCs w:val="16"/>
        </w:rPr>
        <w:t>Заполняется при наличии</w:t>
      </w:r>
    </w:p>
  </w:footnote>
  <w:footnote w:id="12">
    <w:p>
      <w:pPr>
        <w:pStyle w:val="Style32"/>
        <w:widowControl w:val="false"/>
        <w:spacing w:before="0" w:after="0"/>
        <w:rPr/>
      </w:pPr>
      <w:r>
        <w:rPr>
          <w:rStyle w:val="Style17"/>
        </w:rPr>
        <w:footnoteRef/>
      </w:r>
      <w:r>
        <w:rPr>
          <w:sz w:val="16"/>
          <w:szCs w:val="16"/>
        </w:rPr>
        <w:tab/>
        <w:t xml:space="preserve"> </w:t>
      </w:r>
      <w:r>
        <w:rPr>
          <w:sz w:val="16"/>
          <w:szCs w:val="16"/>
        </w:rPr>
        <w:t>Включаются в том числе предложения по дальнейшей реализации муниципальной программы (предложения о корректировке, досрочном прекращении реализации структурных элементов или муниципальной программы в целом, сведения об изменениях, внесенных в отчетном периоде в муниципальную программу).</w:t>
      </w:r>
    </w:p>
  </w:footnote>
  <w:footnote w:id="13">
    <w:p>
      <w:pPr>
        <w:pStyle w:val="Style32"/>
        <w:widowControl w:val="false"/>
        <w:spacing w:before="0" w:after="0"/>
        <w:rPr/>
      </w:pPr>
      <w:r>
        <w:rPr>
          <w:rStyle w:val="Style17"/>
        </w:rPr>
        <w:footnoteRef/>
      </w:r>
      <w:r>
        <w:rPr>
          <w:rStyle w:val="Style17"/>
          <w:sz w:val="16"/>
          <w:szCs w:val="16"/>
        </w:rPr>
        <w:tab/>
        <w:t xml:space="preserve"> </w:t>
      </w:r>
      <w:r>
        <w:rPr>
          <w:sz w:val="16"/>
          <w:szCs w:val="16"/>
        </w:rPr>
        <w:t>Заполняется при наличии показателей комплекса процессных мероприятий.</w:t>
      </w:r>
    </w:p>
  </w:footnote>
  <w:footnote w:id="14">
    <w:p>
      <w:pPr>
        <w:pStyle w:val="Style32"/>
        <w:widowControl w:val="false"/>
        <w:spacing w:before="0" w:after="0"/>
        <w:rPr/>
      </w:pPr>
      <w:r>
        <w:rPr>
          <w:rStyle w:val="Style17"/>
        </w:rPr>
        <w:footnoteRef/>
      </w:r>
      <w:r>
        <w:rPr>
          <w:rStyle w:val="Style17"/>
          <w:sz w:val="16"/>
          <w:szCs w:val="16"/>
        </w:rPr>
        <w:tab/>
        <w:t xml:space="preserve"> </w:t>
      </w:r>
      <w:r>
        <w:rPr>
          <w:sz w:val="16"/>
          <w:szCs w:val="16"/>
        </w:rPr>
        <w:t>Указываются показатели, предусмотренные в паспорте комплекса процессных мероприятий. В случае если показатель не имеет планового значения на конец отчетного периода, в столбцах 8 и 9 указывается «-».</w:t>
      </w:r>
    </w:p>
  </w:footnote>
  <w:footnote w:id="15">
    <w:p>
      <w:pPr>
        <w:pStyle w:val="Style32"/>
        <w:widowControl w:val="false"/>
        <w:spacing w:before="0" w:after="0"/>
        <w:jc w:val="both"/>
        <w:rPr/>
      </w:pPr>
      <w:r>
        <w:rPr>
          <w:rStyle w:val="Style17"/>
        </w:rPr>
        <w:footnoteRef/>
      </w:r>
      <w:r>
        <w:rPr>
          <w:rStyle w:val="Style17"/>
          <w:sz w:val="16"/>
          <w:szCs w:val="16"/>
        </w:rPr>
        <w:tab/>
        <w:t xml:space="preserve"> </w:t>
      </w:r>
      <w:r>
        <w:rPr>
          <w:sz w:val="16"/>
          <w:szCs w:val="16"/>
        </w:rPr>
        <w:t>Здесь и далее указывается на основании данных паспорта комплекса процессных мероприятий.</w:t>
      </w:r>
    </w:p>
  </w:footnote>
  <w:footnote w:id="16">
    <w:p>
      <w:pPr>
        <w:pStyle w:val="Style32"/>
        <w:widowControl w:val="false"/>
        <w:spacing w:before="0" w:after="0"/>
        <w:rPr/>
      </w:pPr>
      <w:r>
        <w:rPr>
          <w:rStyle w:val="Style17"/>
        </w:rPr>
        <w:footnoteRef/>
      </w:r>
      <w:r>
        <w:rPr>
          <w:sz w:val="16"/>
          <w:szCs w:val="16"/>
        </w:rPr>
        <w:tab/>
        <w:t xml:space="preserve"> </w:t>
      </w:r>
      <w:r>
        <w:rPr>
          <w:sz w:val="16"/>
          <w:szCs w:val="16"/>
        </w:rPr>
        <w:t>Не указывается в рамках годового отчета о ходе реализации комплекса процессных мероприятий.</w:t>
      </w:r>
    </w:p>
  </w:footnote>
  <w:footnote w:id="17">
    <w:p>
      <w:pPr>
        <w:pStyle w:val="Style32"/>
        <w:widowControl w:val="false"/>
        <w:spacing w:lineRule="auto" w:line="240" w:before="0" w:after="0"/>
        <w:rPr>
          <w:rFonts w:ascii="Times New Roman" w:hAnsi="Times New Roman"/>
        </w:rPr>
      </w:pPr>
      <w:r>
        <w:rPr>
          <w:rStyle w:val="Style17"/>
        </w:rPr>
        <w:footnoteRef/>
      </w:r>
      <w:r>
        <w:rPr>
          <w:rStyle w:val="Style17"/>
        </w:rPr>
        <w:tab/>
        <w:t xml:space="preserve"> </w:t>
      </w:r>
      <w:r>
        <w:rPr>
          <w:sz w:val="16"/>
          <w:szCs w:val="16"/>
        </w:rPr>
        <w:t>Заполняется при наличии соответствующих показателей в паспорте комплекса процессных мероприятий с учетом выбранной периодичности наблюдения.</w:t>
      </w:r>
    </w:p>
  </w:footnote>
  <w:footnote w:id="18">
    <w:p>
      <w:pPr>
        <w:pStyle w:val="Style32"/>
        <w:widowControl w:val="false"/>
        <w:spacing w:lineRule="auto" w:line="240" w:before="0" w:after="0"/>
        <w:jc w:val="both"/>
        <w:rPr/>
      </w:pPr>
      <w:r>
        <w:rPr>
          <w:rStyle w:val="Style17"/>
        </w:rPr>
        <w:footnoteRef/>
      </w:r>
      <w:r>
        <w:rPr>
          <w:rStyle w:val="Style17"/>
          <w:sz w:val="16"/>
          <w:szCs w:val="16"/>
        </w:rPr>
        <w:tab/>
        <w:t xml:space="preserve"> </w:t>
      </w:r>
      <w:r>
        <w:rPr>
          <w:sz w:val="16"/>
          <w:szCs w:val="16"/>
        </w:rPr>
        <w:t>Не указывается для мероприятий (результатов) в рамках годового отчета (уточненного годового отчета) о ходе реализации комплекса процессных мероприятий.</w:t>
      </w:r>
    </w:p>
  </w:footnote>
  <w:footnote w:id="19">
    <w:p>
      <w:pPr>
        <w:pStyle w:val="Style32"/>
        <w:widowControl w:val="false"/>
        <w:spacing w:lineRule="auto" w:line="240" w:before="0" w:after="0"/>
        <w:rPr/>
      </w:pPr>
      <w:r>
        <w:rPr>
          <w:rStyle w:val="Style17"/>
        </w:rPr>
        <w:footnoteRef/>
      </w:r>
      <w:r>
        <w:rPr>
          <w:rStyle w:val="Style17"/>
        </w:rPr>
        <w:tab/>
        <w:t xml:space="preserve"> </w:t>
      </w:r>
      <w:r>
        <w:rPr>
          <w:sz w:val="16"/>
          <w:szCs w:val="16"/>
        </w:rPr>
        <w:t>При отсутствии фактической даты выполнения контрольной точки указывается прогнозная дата. При наличии фактической даты выполнения контрольной точки прогнозная дата не указывается.</w:t>
      </w:r>
    </w:p>
  </w:footnote>
  <w:footnote w:id="20">
    <w:p>
      <w:pPr>
        <w:pStyle w:val="Style32"/>
        <w:widowControl w:val="false"/>
        <w:spacing w:before="0" w:after="0"/>
        <w:rPr/>
      </w:pPr>
      <w:r>
        <w:rPr>
          <w:rStyle w:val="Style17"/>
        </w:rPr>
        <w:footnoteRef/>
      </w:r>
      <w:r>
        <w:rPr>
          <w:rStyle w:val="Style17"/>
        </w:rPr>
        <w:tab/>
        <w:t xml:space="preserve"> </w:t>
      </w:r>
      <w:r>
        <w:rPr>
          <w:sz w:val="16"/>
          <w:szCs w:val="16"/>
        </w:rPr>
        <w:t>Указываются сведения, подтверждающие достижение соответствующих мероприятий (результатов) и контрольных точек проекта (реквизиты подтверждающих документов, ссылки на источники официальной статистической информации и пр.).</w:t>
      </w:r>
    </w:p>
  </w:footnote>
  <w:footnote w:id="21">
    <w:p>
      <w:pPr>
        <w:pStyle w:val="Style32"/>
        <w:widowControl w:val="false"/>
        <w:spacing w:before="0" w:after="0"/>
        <w:jc w:val="both"/>
        <w:rPr/>
      </w:pPr>
      <w:r>
        <w:rPr>
          <w:rStyle w:val="Style17"/>
        </w:rPr>
        <w:footnoteRef/>
      </w:r>
      <w:r>
        <w:rPr>
          <w:rStyle w:val="Style17"/>
        </w:rPr>
        <w:tab/>
        <w:t xml:space="preserve"> </w:t>
      </w:r>
      <w:r>
        <w:rPr>
          <w:sz w:val="16"/>
          <w:szCs w:val="16"/>
        </w:rPr>
        <w:t>Указываются обоснования наличия отрицательных отклонений фактических/прогнозных значений мероприятия (результата) на конец отчетного периода относительно планового значения на конец отчетного периода, наличия отрицательных отклонений прогнозного значения мероприятия (результата) на конец текущего года относительно планового значения на конец текущего года, наличия отрицательного отклонения фактической/прогнозной даты наступления контрольной точки относительно плановой даты наступления контрольной точки.</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8"/>
      <w:jc w:val="center"/>
      <w:rPr/>
    </w:pPr>
    <w:r>
      <w:rPr/>
    </w:r>
  </w:p>
  <w:p>
    <w:pPr>
      <w:pStyle w:val="Style2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8"/>
      <w:jc w:val="cent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d5e2a"/>
    <w:pPr>
      <w:widowControl w:val="false"/>
      <w:suppressAutoHyphens w:val="true"/>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character" w:styleId="DefaultParagraphFont" w:default="1">
    <w:name w:val="Default Paragraph Font"/>
    <w:uiPriority w:val="1"/>
    <w:semiHidden/>
    <w:unhideWhenUsed/>
    <w:qFormat/>
    <w:rPr/>
  </w:style>
  <w:style w:type="character" w:styleId="Style14" w:customStyle="1">
    <w:name w:val="Верхний колонтитул Знак"/>
    <w:basedOn w:val="DefaultParagraphFont"/>
    <w:qFormat/>
    <w:rsid w:val="001d5e2a"/>
    <w:rPr>
      <w:rFonts w:ascii="Times New Roman" w:hAnsi="Times New Roman" w:eastAsia="Times New Roman" w:cs="Times New Roman"/>
      <w:sz w:val="20"/>
      <w:szCs w:val="20"/>
      <w:lang w:eastAsia="ru-RU"/>
    </w:rPr>
  </w:style>
  <w:style w:type="character" w:styleId="Pagenumber">
    <w:name w:val="page number"/>
    <w:basedOn w:val="DefaultParagraphFont"/>
    <w:qFormat/>
    <w:rsid w:val="001d5e2a"/>
    <w:rPr/>
  </w:style>
  <w:style w:type="character" w:styleId="Style15" w:customStyle="1">
    <w:name w:val="Текст выноски Знак"/>
    <w:basedOn w:val="DefaultParagraphFont"/>
    <w:link w:val="BalloonText"/>
    <w:uiPriority w:val="99"/>
    <w:semiHidden/>
    <w:qFormat/>
    <w:rsid w:val="001d5e2a"/>
    <w:rPr>
      <w:rFonts w:ascii="Tahoma" w:hAnsi="Tahoma" w:eastAsia="Times New Roman" w:cs="Tahoma"/>
      <w:sz w:val="16"/>
      <w:szCs w:val="16"/>
      <w:lang w:eastAsia="ru-RU"/>
    </w:rPr>
  </w:style>
  <w:style w:type="character" w:styleId="Style16" w:customStyle="1">
    <w:name w:val="Нижний колонтитул Знак"/>
    <w:basedOn w:val="DefaultParagraphFont"/>
    <w:uiPriority w:val="99"/>
    <w:semiHidden/>
    <w:qFormat/>
    <w:rsid w:val="00ab6832"/>
    <w:rPr>
      <w:rFonts w:ascii="Times New Roman" w:hAnsi="Times New Roman" w:eastAsia="Times New Roman" w:cs="Times New Roman"/>
      <w:sz w:val="24"/>
      <w:szCs w:val="24"/>
      <w:lang w:eastAsia="ru-RU"/>
    </w:rPr>
  </w:style>
  <w:style w:type="character" w:styleId="-">
    <w:name w:val="Hyperlink"/>
    <w:rPr>
      <w:color w:val="000080"/>
      <w:u w:val="single"/>
    </w:rPr>
  </w:style>
  <w:style w:type="character" w:styleId="Style17">
    <w:name w:val="Символ сноски"/>
    <w:qFormat/>
    <w:rPr>
      <w:vertAlign w:val="superscript"/>
    </w:rPr>
  </w:style>
  <w:style w:type="character" w:styleId="Style18">
    <w:name w:val="Footnote Reference"/>
    <w:rPr>
      <w:vertAlign w:val="superscript"/>
    </w:rPr>
  </w:style>
  <w:style w:type="character" w:styleId="Style19">
    <w:name w:val="Символ концевой сноски"/>
    <w:qFormat/>
    <w:rPr>
      <w:vertAlign w:val="superscript"/>
    </w:rPr>
  </w:style>
  <w:style w:type="character" w:styleId="Style20">
    <w:name w:val="Endnote Reference"/>
    <w:rPr>
      <w:vertAlign w:val="superscript"/>
    </w:rPr>
  </w:style>
  <w:style w:type="character" w:styleId="Style21">
    <w:name w:val="Цветовое выделение для Текст"/>
    <w:qFormat/>
    <w:rPr/>
  </w:style>
  <w:style w:type="paragraph" w:styleId="Style22">
    <w:name w:val="Заголовок"/>
    <w:basedOn w:val="Normal"/>
    <w:next w:val="Style23"/>
    <w:qFormat/>
    <w:pPr>
      <w:keepNext w:val="true"/>
      <w:spacing w:before="240" w:after="120"/>
    </w:pPr>
    <w:rPr>
      <w:rFonts w:ascii="PT Astra Serif" w:hAnsi="PT Astra Serif" w:eastAsia="Tahoma" w:cs="Noto Sans Devanagari"/>
      <w:sz w:val="28"/>
      <w:szCs w:val="28"/>
    </w:rPr>
  </w:style>
  <w:style w:type="paragraph" w:styleId="Style23">
    <w:name w:val="Body Text"/>
    <w:basedOn w:val="Normal"/>
    <w:pPr>
      <w:spacing w:lineRule="auto" w:line="276" w:before="0" w:after="140"/>
    </w:pPr>
    <w:rPr/>
  </w:style>
  <w:style w:type="paragraph" w:styleId="Style24">
    <w:name w:val="List"/>
    <w:basedOn w:val="Style23"/>
    <w:pPr/>
    <w:rPr>
      <w:rFonts w:ascii="PT Astra Serif" w:hAnsi="PT Astra Serif" w:cs="Noto Sans Devanagari"/>
    </w:rPr>
  </w:style>
  <w:style w:type="paragraph" w:styleId="Style25">
    <w:name w:val="Caption"/>
    <w:basedOn w:val="Normal"/>
    <w:qFormat/>
    <w:pPr>
      <w:suppressLineNumbers/>
      <w:spacing w:before="120" w:after="120"/>
    </w:pPr>
    <w:rPr>
      <w:rFonts w:ascii="PT Astra Serif" w:hAnsi="PT Astra Serif" w:cs="Noto Sans Devanagari"/>
      <w:i/>
      <w:iCs/>
      <w:sz w:val="24"/>
      <w:szCs w:val="24"/>
    </w:rPr>
  </w:style>
  <w:style w:type="paragraph" w:styleId="Style26">
    <w:name w:val="Указатель"/>
    <w:basedOn w:val="Normal"/>
    <w:qFormat/>
    <w:pPr>
      <w:suppressLineNumbers/>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27">
    <w:name w:val="Колонтитул"/>
    <w:basedOn w:val="Normal"/>
    <w:qFormat/>
    <w:pPr/>
    <w:rPr/>
  </w:style>
  <w:style w:type="paragraph" w:styleId="Style28">
    <w:name w:val="Header"/>
    <w:basedOn w:val="Normal"/>
    <w:link w:val="Style14"/>
    <w:rsid w:val="001d5e2a"/>
    <w:pPr>
      <w:widowControl/>
      <w:tabs>
        <w:tab w:val="clear" w:pos="708"/>
        <w:tab w:val="center" w:pos="4677" w:leader="none"/>
        <w:tab w:val="right" w:pos="9355" w:leader="none"/>
      </w:tabs>
    </w:pPr>
    <w:rPr>
      <w:sz w:val="20"/>
      <w:szCs w:val="20"/>
    </w:rPr>
  </w:style>
  <w:style w:type="paragraph" w:styleId="BalloonText">
    <w:name w:val="Balloon Text"/>
    <w:basedOn w:val="Normal"/>
    <w:link w:val="Style15"/>
    <w:uiPriority w:val="99"/>
    <w:semiHidden/>
    <w:unhideWhenUsed/>
    <w:qFormat/>
    <w:rsid w:val="001d5e2a"/>
    <w:pPr/>
    <w:rPr>
      <w:rFonts w:ascii="Tahoma" w:hAnsi="Tahoma" w:cs="Tahoma"/>
      <w:sz w:val="16"/>
      <w:szCs w:val="16"/>
    </w:rPr>
  </w:style>
  <w:style w:type="paragraph" w:styleId="ListParagraph">
    <w:name w:val="List Paragraph"/>
    <w:basedOn w:val="Normal"/>
    <w:uiPriority w:val="34"/>
    <w:qFormat/>
    <w:rsid w:val="00793176"/>
    <w:pPr>
      <w:spacing w:before="0" w:after="0"/>
      <w:ind w:left="720" w:hanging="0"/>
      <w:contextualSpacing/>
    </w:pPr>
    <w:rPr/>
  </w:style>
  <w:style w:type="paragraph" w:styleId="Style29">
    <w:name w:val="Footer"/>
    <w:basedOn w:val="Normal"/>
    <w:link w:val="Style16"/>
    <w:uiPriority w:val="99"/>
    <w:semiHidden/>
    <w:unhideWhenUsed/>
    <w:rsid w:val="00ab6832"/>
    <w:pPr>
      <w:tabs>
        <w:tab w:val="clear" w:pos="708"/>
        <w:tab w:val="center" w:pos="4677" w:leader="none"/>
        <w:tab w:val="right" w:pos="9355" w:leader="none"/>
      </w:tabs>
    </w:pPr>
    <w:rPr/>
  </w:style>
  <w:style w:type="paragraph" w:styleId="Style30">
    <w:name w:val="Содержимое врезки"/>
    <w:basedOn w:val="Normal"/>
    <w:qFormat/>
    <w:pPr/>
    <w:rPr/>
  </w:style>
  <w:style w:type="paragraph" w:styleId="Style31">
    <w:name w:val="Верхний колонтитул слева"/>
    <w:basedOn w:val="Style28"/>
    <w:qFormat/>
    <w:pPr/>
    <w:rPr/>
  </w:style>
  <w:style w:type="paragraph" w:styleId="Bodytext2">
    <w:name w:val="Body text (2)"/>
    <w:qFormat/>
    <w:pPr>
      <w:widowControl w:val="false"/>
      <w:shd w:val="clear" w:color="auto" w:fill="FFFFFF"/>
      <w:suppressAutoHyphens w:val="true"/>
      <w:bidi w:val="0"/>
      <w:spacing w:lineRule="exact" w:line="302" w:before="860" w:after="0"/>
      <w:jc w:val="both"/>
    </w:pPr>
    <w:rPr>
      <w:rFonts w:ascii="Times New Roman" w:hAnsi="Times New Roman" w:eastAsia="Times New Roman" w:cs="Times New Roman"/>
      <w:color w:val="000000"/>
      <w:kern w:val="0"/>
      <w:sz w:val="28"/>
      <w:szCs w:val="28"/>
      <w:lang w:val="ru-RU" w:eastAsia="ru-RU" w:bidi="ru-RU"/>
    </w:rPr>
  </w:style>
  <w:style w:type="paragraph" w:styleId="ConsPlusNormal">
    <w:name w:val="ConsPlusNormal"/>
    <w:qFormat/>
    <w:pPr>
      <w:widowControl w:val="false"/>
      <w:suppressAutoHyphens w:val="true"/>
      <w:bidi w:val="0"/>
      <w:spacing w:lineRule="auto" w:line="240" w:before="0" w:after="0"/>
      <w:jc w:val="left"/>
    </w:pPr>
    <w:rPr>
      <w:rFonts w:ascii="Arial" w:hAnsi="Arial" w:eastAsia="Times New Roman" w:cs="Arial"/>
      <w:color w:val="auto"/>
      <w:kern w:val="0"/>
      <w:sz w:val="20"/>
      <w:szCs w:val="20"/>
      <w:lang w:val="ru-RU" w:eastAsia="ru-RU" w:bidi="ar-SA"/>
    </w:rPr>
  </w:style>
  <w:style w:type="paragraph" w:styleId="ConsPlusNonformat">
    <w:name w:val="ConsPlusNonformat"/>
    <w:qFormat/>
    <w:pPr>
      <w:widowControl w:val="false"/>
      <w:suppressAutoHyphens w:val="true"/>
      <w:bidi w:val="0"/>
      <w:spacing w:lineRule="auto" w:line="240" w:before="0" w:after="0"/>
      <w:jc w:val="left"/>
    </w:pPr>
    <w:rPr>
      <w:rFonts w:ascii="Courier New" w:hAnsi="Courier New" w:eastAsia="Times New Roman" w:cs="Courier New"/>
      <w:color w:val="auto"/>
      <w:kern w:val="0"/>
      <w:sz w:val="20"/>
      <w:szCs w:val="20"/>
      <w:lang w:val="ru-RU" w:eastAsia="ru-RU" w:bidi="ar-SA"/>
    </w:rPr>
  </w:style>
  <w:style w:type="paragraph" w:styleId="Heading1">
    <w:name w:val="Heading #1"/>
    <w:qFormat/>
    <w:pPr>
      <w:widowControl w:val="false"/>
      <w:shd w:val="clear" w:color="auto" w:fill="FFFFFF"/>
      <w:suppressAutoHyphens w:val="true"/>
      <w:bidi w:val="0"/>
      <w:spacing w:lineRule="exact" w:line="310" w:before="320" w:after="320"/>
      <w:ind w:hanging="1560"/>
      <w:jc w:val="left"/>
      <w:outlineLvl w:val="0"/>
    </w:pPr>
    <w:rPr>
      <w:rFonts w:ascii="Times New Roman" w:hAnsi="Times New Roman" w:eastAsia="Times New Roman" w:cs="Times New Roman"/>
      <w:b/>
      <w:bCs/>
      <w:color w:val="000000"/>
      <w:kern w:val="0"/>
      <w:sz w:val="28"/>
      <w:szCs w:val="28"/>
      <w:lang w:val="ru-RU" w:eastAsia="ru-RU" w:bidi="ru-RU"/>
    </w:rPr>
  </w:style>
  <w:style w:type="paragraph" w:styleId="ConsPlusTitle">
    <w:name w:val="ConsPlusTitle"/>
    <w:qFormat/>
    <w:pPr>
      <w:widowControl w:val="false"/>
      <w:suppressAutoHyphens w:val="true"/>
      <w:bidi w:val="0"/>
      <w:spacing w:before="0" w:after="0"/>
      <w:jc w:val="left"/>
    </w:pPr>
    <w:rPr>
      <w:rFonts w:ascii="Calibri" w:hAnsi="Calibri" w:eastAsia="" w:cs="Calibri" w:eastAsiaTheme="minorEastAsia"/>
      <w:b/>
      <w:color w:val="auto"/>
      <w:kern w:val="0"/>
      <w:sz w:val="22"/>
      <w:szCs w:val="22"/>
      <w:lang w:val="ru-RU" w:eastAsia="ru-RU" w:bidi="ar-SA"/>
    </w:rPr>
  </w:style>
  <w:style w:type="paragraph" w:styleId="Style32">
    <w:name w:val="Footnote Text"/>
    <w:basedOn w:val="Normal"/>
    <w:pPr>
      <w:suppressLineNumbers/>
      <w:ind w:left="340" w:hanging="340"/>
    </w:pPr>
    <w:rPr>
      <w:sz w:val="20"/>
      <w:szCs w:val="20"/>
    </w:rPr>
  </w:style>
  <w:style w:type="paragraph" w:styleId="BodyText21">
    <w:name w:val="Body Text 2"/>
    <w:basedOn w:val="Normal"/>
    <w:qFormat/>
    <w:pPr>
      <w:spacing w:lineRule="auto" w:line="480" w:before="0" w:after="120"/>
    </w:pPr>
    <w:rPr/>
  </w:style>
  <w:style w:type="paragraph" w:styleId="Style33">
    <w:name w:val="Содержимое таблицы"/>
    <w:basedOn w:val="Normal"/>
    <w:qFormat/>
    <w:pPr/>
    <w:rPr/>
  </w:style>
  <w:style w:type="paragraph" w:styleId="Style34">
    <w:name w:val="Заголовок таблицы"/>
    <w:basedOn w:val="Style33"/>
    <w:qFormat/>
    <w:pPr>
      <w:suppressLineNumbers/>
      <w:jc w:val="center"/>
    </w:pPr>
    <w:rPr>
      <w:b/>
      <w:bCs/>
    </w:rPr>
  </w:style>
  <w:style w:type="paragraph" w:styleId="1">
    <w:name w:val="Обычный1"/>
    <w:qFormat/>
    <w:pPr>
      <w:widowControl w:val="false"/>
      <w:suppressAutoHyphens w:val="true"/>
      <w:bidi w:val="0"/>
      <w:spacing w:before="0" w:after="0"/>
      <w:jc w:val="left"/>
      <w:textAlignment w:val="baseline"/>
    </w:pPr>
    <w:rPr>
      <w:rFonts w:ascii="Calibri" w:hAnsi="Calibri" w:eastAsia="SimSun;宋体" w:cs="Calibri"/>
      <w:color w:val="auto"/>
      <w:kern w:val="2"/>
      <w:sz w:val="22"/>
      <w:szCs w:val="22"/>
      <w:lang w:val="en-US" w:eastAsia="zh-CN" w:bidi="ar-SA"/>
    </w:rPr>
  </w:style>
  <w:style w:type="numbering" w:styleId="Style35" w:default="1">
    <w:name w:val="Без списка"/>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notes" Target="footnotes.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1292</TotalTime>
  <Application>LibreOffice/7.5.6.2$Linux_X86_64 LibreOffice_project/50$Build-2</Application>
  <AppVersion>15.0000</AppVersion>
  <Pages>18</Pages>
  <Words>2942</Words>
  <Characters>21352</Characters>
  <CharactersWithSpaces>23518</CharactersWithSpaces>
  <Paragraphs>846</Paragraphs>
  <Company>MultiDVD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2018-11-08T12:39:00Z</dcterms:created>
  <dc:creator>Потапова</dc:creator>
  <dc:description/>
  <dc:language>ru-RU</dc:language>
  <cp:lastModifiedBy/>
  <cp:lastPrinted>2026-03-06T08:50:03Z</cp:lastPrinted>
  <dcterms:modified xsi:type="dcterms:W3CDTF">2026-03-06T09:42:46Z</dcterms:modified>
  <cp:revision>139</cp:revision>
  <dc:subject/>
  <dc:title/>
</cp:coreProperties>
</file>

<file path=docProps/custom.xml><?xml version="1.0" encoding="utf-8"?>
<Properties xmlns="http://schemas.openxmlformats.org/officeDocument/2006/custom-properties" xmlns:vt="http://schemas.openxmlformats.org/officeDocument/2006/docPropsVTypes"/>
</file>