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МЕТОДИЧЕСКИЕ РЕКОМЕНДАЦИИ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ПО ВЫЯВЛЕНИЮ ПРИЗНАКОВ ТЕРРОРИСТИЧЕСКИХ УГРОЗ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 xml:space="preserve">Анализ информации, поступающей в Национальный антитеррористический комитет, свидетельствует о сохранении напряженной обстановки в сфере противодействия терроризму, что, прежде всего, связано с деятельностью </w:t>
      </w:r>
      <w:proofErr w:type="spellStart"/>
      <w:r w:rsidRPr="004563EB">
        <w:rPr>
          <w:color w:val="000000"/>
          <w:sz w:val="28"/>
          <w:szCs w:val="28"/>
        </w:rPr>
        <w:t>бандгрупп</w:t>
      </w:r>
      <w:proofErr w:type="spellEnd"/>
      <w:r w:rsidRPr="004563EB">
        <w:rPr>
          <w:color w:val="000000"/>
          <w:sz w:val="28"/>
          <w:szCs w:val="28"/>
        </w:rPr>
        <w:t xml:space="preserve"> на территории ряда субъектов Российской Федерации, находящихся в пределах </w:t>
      </w:r>
      <w:proofErr w:type="spellStart"/>
      <w:r w:rsidRPr="004563EB">
        <w:rPr>
          <w:color w:val="000000"/>
          <w:sz w:val="28"/>
          <w:szCs w:val="28"/>
        </w:rPr>
        <w:t>Северо-Кавказского</w:t>
      </w:r>
      <w:proofErr w:type="spellEnd"/>
      <w:r w:rsidRPr="004563EB">
        <w:rPr>
          <w:color w:val="000000"/>
          <w:sz w:val="28"/>
          <w:szCs w:val="28"/>
        </w:rPr>
        <w:t xml:space="preserve"> федерального округа. Заметно участились теракты, непосредственными исполнителями которых становятся террористы-смертники.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Преступления террористического характера являются крайне жестокой формой выражения социального протеста или попытками незаконного достижения целей путем устрашения общественности, политических и государственных структур. Поэтому на современном этапе развития общества профессиональных террористов и террористические организации можно отнести к некой группе лиц, которые взяли на вооружение идеи террора, имеют специфические представления о социальной справедливости, своеобразную (в большинстве случаев искаженную) картину обустройства мира.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 xml:space="preserve">При этом, по мнению духовных лидеров ислама, авторитетных представителей мусульманской </w:t>
      </w:r>
      <w:proofErr w:type="spellStart"/>
      <w:r w:rsidRPr="004563EB">
        <w:rPr>
          <w:color w:val="000000"/>
          <w:sz w:val="28"/>
          <w:szCs w:val="28"/>
        </w:rPr>
        <w:t>уммы</w:t>
      </w:r>
      <w:proofErr w:type="spellEnd"/>
      <w:r w:rsidRPr="004563EB">
        <w:rPr>
          <w:color w:val="000000"/>
          <w:sz w:val="28"/>
          <w:szCs w:val="28"/>
        </w:rPr>
        <w:t xml:space="preserve"> (общности верующих), как в России, так и за рубежом, «терроризм - это оружие слабых», то есть оружие тех лиц, которые не могут достичь своих целей законным путем или открытым вооруженным противостоянием. Использование террористов–смертников это попытка отдельных лиц и организаций, слабых в военно-политическом и идеологическом плане, показать противнику свою психологическую силу – якобы моральное превосходство, силу духа, решимость, непреклонность, способность погибнуть и, таким образом, сформировать у противника психологическую установку на бесполезность сопротивления.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В средствах массовой информации террористов–смертников часто называют «шахидами».</w:t>
      </w:r>
      <w:r w:rsidRPr="004563EB">
        <w:rPr>
          <w:rStyle w:val="apple-converted-space"/>
          <w:color w:val="000000"/>
          <w:sz w:val="28"/>
          <w:szCs w:val="28"/>
        </w:rPr>
        <w:t> </w:t>
      </w:r>
      <w:r w:rsidRPr="004563EB">
        <w:rPr>
          <w:rStyle w:val="a4"/>
          <w:color w:val="000000"/>
          <w:sz w:val="28"/>
          <w:szCs w:val="28"/>
        </w:rPr>
        <w:t>Это в корне не верно.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Традиционный ислам запрещает самоубийство, чем и кем бы оно ни оправдывалось. Согласно одному из хадисов (изречений) пророка Мухаммеда «тот, кто намерено убьет себя, будет наказан вечным пребыванием в аду».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«Шахид» в переводе с арабского означает «свидетель» - приверженный исламу, джихаду. Однако</w:t>
      </w:r>
      <w:proofErr w:type="gramStart"/>
      <w:r w:rsidRPr="004563EB">
        <w:rPr>
          <w:color w:val="000000"/>
          <w:sz w:val="28"/>
          <w:szCs w:val="28"/>
        </w:rPr>
        <w:t>,</w:t>
      </w:r>
      <w:proofErr w:type="gramEnd"/>
      <w:r w:rsidRPr="004563EB">
        <w:rPr>
          <w:color w:val="000000"/>
          <w:sz w:val="28"/>
          <w:szCs w:val="28"/>
        </w:rPr>
        <w:t xml:space="preserve"> нужно помнить, что понятие джихад – это необязательно «священная война» против «неверных», прежде всего это «священное усилие» или усилие над собой. Усилие, которое человек может приложить при строительстве дома, посадке деревьев, при написании книги, </w:t>
      </w:r>
      <w:r w:rsidRPr="004563EB">
        <w:rPr>
          <w:color w:val="000000"/>
          <w:sz w:val="28"/>
          <w:szCs w:val="28"/>
        </w:rPr>
        <w:lastRenderedPageBreak/>
        <w:t xml:space="preserve">при воспитании детей. В священных книгах мусульман Коране и Сунне ничего не говорится об акциях «геройского самопожертвования». Использование термина «шахид» в качестве синонима смертника является изобретением современных </w:t>
      </w:r>
      <w:proofErr w:type="spellStart"/>
      <w:r w:rsidRPr="004563EB">
        <w:rPr>
          <w:color w:val="000000"/>
          <w:sz w:val="28"/>
          <w:szCs w:val="28"/>
        </w:rPr>
        <w:t>улемов</w:t>
      </w:r>
      <w:proofErr w:type="spellEnd"/>
      <w:r w:rsidRPr="004563EB">
        <w:rPr>
          <w:color w:val="000000"/>
          <w:sz w:val="28"/>
          <w:szCs w:val="28"/>
        </w:rPr>
        <w:t xml:space="preserve"> – «знатоков» исламского богословия, связанных с экстремистскими организациями. Считается, что именно </w:t>
      </w:r>
      <w:proofErr w:type="spellStart"/>
      <w:r w:rsidRPr="004563EB">
        <w:rPr>
          <w:color w:val="000000"/>
          <w:sz w:val="28"/>
          <w:szCs w:val="28"/>
        </w:rPr>
        <w:t>Усама</w:t>
      </w:r>
      <w:proofErr w:type="spellEnd"/>
      <w:r w:rsidRPr="004563EB">
        <w:rPr>
          <w:color w:val="000000"/>
          <w:sz w:val="28"/>
          <w:szCs w:val="28"/>
        </w:rPr>
        <w:t xml:space="preserve"> </w:t>
      </w:r>
      <w:proofErr w:type="spellStart"/>
      <w:r w:rsidRPr="004563EB">
        <w:rPr>
          <w:color w:val="000000"/>
          <w:sz w:val="28"/>
          <w:szCs w:val="28"/>
        </w:rPr>
        <w:t>бен</w:t>
      </w:r>
      <w:proofErr w:type="spellEnd"/>
      <w:r w:rsidRPr="004563EB">
        <w:rPr>
          <w:color w:val="000000"/>
          <w:sz w:val="28"/>
          <w:szCs w:val="28"/>
        </w:rPr>
        <w:t xml:space="preserve"> </w:t>
      </w:r>
      <w:proofErr w:type="gramStart"/>
      <w:r w:rsidRPr="004563EB">
        <w:rPr>
          <w:color w:val="000000"/>
          <w:sz w:val="28"/>
          <w:szCs w:val="28"/>
        </w:rPr>
        <w:t>Ладен</w:t>
      </w:r>
      <w:proofErr w:type="gramEnd"/>
      <w:r w:rsidRPr="004563EB">
        <w:rPr>
          <w:color w:val="000000"/>
          <w:sz w:val="28"/>
          <w:szCs w:val="28"/>
        </w:rPr>
        <w:t xml:space="preserve"> заставил афганских </w:t>
      </w:r>
      <w:proofErr w:type="spellStart"/>
      <w:r w:rsidRPr="004563EB">
        <w:rPr>
          <w:color w:val="000000"/>
          <w:sz w:val="28"/>
          <w:szCs w:val="28"/>
        </w:rPr>
        <w:t>улемов</w:t>
      </w:r>
      <w:proofErr w:type="spellEnd"/>
      <w:r w:rsidRPr="004563EB">
        <w:rPr>
          <w:color w:val="000000"/>
          <w:sz w:val="28"/>
          <w:szCs w:val="28"/>
        </w:rPr>
        <w:t xml:space="preserve"> издать религиозный указ, согласно которому он и его ближайшие сподвижники могут покончить с собой, «поскольку это отвечает интересам всемирного ислама».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 xml:space="preserve">Совет же верховных священнослужителей Саудовской Аравии, страны, имеющей один из самых низких показателей суицида в мире, официальной </w:t>
      </w:r>
      <w:proofErr w:type="gramStart"/>
      <w:r w:rsidRPr="004563EB">
        <w:rPr>
          <w:color w:val="000000"/>
          <w:sz w:val="28"/>
          <w:szCs w:val="28"/>
        </w:rPr>
        <w:t>религией</w:t>
      </w:r>
      <w:proofErr w:type="gramEnd"/>
      <w:r w:rsidRPr="004563EB">
        <w:rPr>
          <w:color w:val="000000"/>
          <w:sz w:val="28"/>
          <w:szCs w:val="28"/>
        </w:rPr>
        <w:t xml:space="preserve"> которой является ваххабизм, назвал подрывные акции и убийства «опасными преступлениями», противоречащими шариату, а людей, оправдывающих эти действия джихадом, - сбившимися с верного пути.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Мотивы террористов-смертников, действующих для того, чтобы погубить как можно больше мирных граждан (пусть даже страны-противника), по своей психологической сущности кардинально отличаются от самопожертвования солдата на войне. Причины, по которым современных террористов-смертников толкают к самопожертвованию, больше связаны с политикой и экономикой. Вера и религия выступают в большей степени ширмой и приманкой, хотя сами террористы-смертники далеко не всегда отдают себе в этом отчет.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 xml:space="preserve">Террористические акции с использованием смертников на территории России финансируются рядом зарубежных структур, интересы которых лежат как раз в сфере политики и экономики, а основаны на геополитическом противостоянии России. По данным ФСБ России, готовятся такие акции руководителями </w:t>
      </w:r>
      <w:proofErr w:type="gramStart"/>
      <w:r w:rsidRPr="004563EB">
        <w:rPr>
          <w:color w:val="000000"/>
          <w:sz w:val="28"/>
          <w:szCs w:val="28"/>
        </w:rPr>
        <w:t>северокавказского</w:t>
      </w:r>
      <w:proofErr w:type="gramEnd"/>
      <w:r w:rsidRPr="004563EB">
        <w:rPr>
          <w:color w:val="000000"/>
          <w:sz w:val="28"/>
          <w:szCs w:val="28"/>
        </w:rPr>
        <w:t xml:space="preserve"> </w:t>
      </w:r>
      <w:proofErr w:type="spellStart"/>
      <w:r w:rsidRPr="004563EB">
        <w:rPr>
          <w:color w:val="000000"/>
          <w:sz w:val="28"/>
          <w:szCs w:val="28"/>
        </w:rPr>
        <w:t>бандподполья</w:t>
      </w:r>
      <w:proofErr w:type="spellEnd"/>
      <w:r w:rsidRPr="004563EB">
        <w:rPr>
          <w:color w:val="000000"/>
          <w:sz w:val="28"/>
          <w:szCs w:val="28"/>
        </w:rPr>
        <w:t xml:space="preserve"> с участием иностранных наемников, сопровождаясь материальным, идеологическим обеспечением и психологическим воздействием на конкретных исполнителей этих акций. Социальная база участников террористической деятельности представляет собой активных боевиков, выбравших путь диверсий и террора, а также часть населения, втянутого в террористическую деятельность, которая весьма неоднородна по своему составу, идеологической ориентации, уровню образования и мотивам совершения террористических акций.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Говорить о преобладающем типе террориста-смертника в современной России весьма трудно, так как среди них есть религиозные фанатики, включая тех лиц, религиозные чувства которых модифицируются с помощью специальной обработки, «идеалисты», «мстители», психопатические личности, лица, действующие рационально или, наоборот, импульсивно. В некоторых случаях террористы-смертники могут не подозревать, что они заранее отнесены к числу жертв и используются «в темную» по воле других людей в качестве «контейнеров» и сре</w:t>
      </w:r>
      <w:proofErr w:type="gramStart"/>
      <w:r w:rsidRPr="004563EB">
        <w:rPr>
          <w:color w:val="000000"/>
          <w:sz w:val="28"/>
          <w:szCs w:val="28"/>
        </w:rPr>
        <w:t>дств дл</w:t>
      </w:r>
      <w:proofErr w:type="gramEnd"/>
      <w:r w:rsidRPr="004563EB">
        <w:rPr>
          <w:color w:val="000000"/>
          <w:sz w:val="28"/>
          <w:szCs w:val="28"/>
        </w:rPr>
        <w:t xml:space="preserve">я доставки взрывчатки к цели. При таком способе организации террористической акции исполнителю </w:t>
      </w:r>
      <w:r w:rsidRPr="004563EB">
        <w:rPr>
          <w:color w:val="000000"/>
          <w:sz w:val="28"/>
          <w:szCs w:val="28"/>
        </w:rPr>
        <w:lastRenderedPageBreak/>
        <w:t>ставится задача оставить в назначенном месте взрывчатку или сумку, о содержимом которой он может не знать, а в лучшем случае лишь догадываться, но при этом данный участник террористической акции не ставится в известность о том, что его дальнейшая судьба предрешена.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proofErr w:type="gramStart"/>
      <w:r w:rsidRPr="004563EB">
        <w:rPr>
          <w:color w:val="000000"/>
          <w:sz w:val="28"/>
          <w:szCs w:val="28"/>
        </w:rPr>
        <w:t>На задание смертников, как правило, посылают парами (один – исполнитель, второй – «контролер»).</w:t>
      </w:r>
      <w:proofErr w:type="gramEnd"/>
      <w:r w:rsidRPr="004563EB">
        <w:rPr>
          <w:color w:val="000000"/>
          <w:sz w:val="28"/>
          <w:szCs w:val="28"/>
        </w:rPr>
        <w:t xml:space="preserve"> Если у исполнителя что-то не получится или он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этих случаях уничтожение смертника осуществляется путем подрыва носимых им взрывных устройств с помощью дистанционного управления.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proofErr w:type="gramStart"/>
      <w:r w:rsidRPr="004563EB">
        <w:rPr>
          <w:color w:val="000000"/>
          <w:sz w:val="28"/>
          <w:szCs w:val="28"/>
        </w:rPr>
        <w:t>Применение указанной тактики с высокой степенью вероятности гарантирует, что такие акции зачастую приводят к многочисленным жертвам, они всегда попадают в фокус СМИ, что рекламирует их решимость к самопожертвованию, атака состоится в наиболее подходящий для террористов момент, нет нужды готовить пути отхода, нет опасений, что преступник попадет в руки правоохранительных органов и выдаст сообщников, в том числе организаторов.</w:t>
      </w:r>
      <w:proofErr w:type="gramEnd"/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Чтобы усыпить бдительность сотрудников правоохранительных органов и беспрепятственно пройти к цели, террористы применяют эффективные приемы маскировки.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 xml:space="preserve">Смертники – это, как правило, молодые женщины, реже – мужчины 20-35 лет (часто выглядят старше своих лет), иногда и подростки. В подавляющем большинстве – это люди, насильно выбитые лидерами </w:t>
      </w:r>
      <w:proofErr w:type="spellStart"/>
      <w:r w:rsidRPr="004563EB">
        <w:rPr>
          <w:color w:val="000000"/>
          <w:sz w:val="28"/>
          <w:szCs w:val="28"/>
        </w:rPr>
        <w:t>бандподполья</w:t>
      </w:r>
      <w:proofErr w:type="spellEnd"/>
      <w:r w:rsidRPr="004563EB">
        <w:rPr>
          <w:color w:val="000000"/>
          <w:sz w:val="28"/>
          <w:szCs w:val="28"/>
        </w:rPr>
        <w:t xml:space="preserve"> из своей социальной семьи (опозоренная перед «миром» девушка, человек, которому угрожают убийством родных в случае отказа от теракта и т.д.).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Смертник имеет, в зависимости от стадии совершения преступления, отстраненный или, напротив, сосредоточенный взгляд, держится обособленно от других. Чтобы не привлекать к себе внимания, террористы-смертники должны соответствовать окружению с точки зрения внешности. Для этого применяются различные способы маскировки: подбор одежды, как правило, неброской, окрашивание волос и т. д.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Практика показывает, что на территории Российской Федерации террористы не идут на совершение подрыва в общественном месте в ярко выраженной национальной одежде.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 xml:space="preserve">Женщины-террористки могут выдавать себя за беременных, используются люди с различными увечьями (без руки, ноги, глаза и т.п.), т.к. явно выраженные физические недостатки, позитивное отношение к материнству, женщине облегчают проникновение террористов к местам совершения преступлений. Известны случаи, когда мужчины переодевались в женское </w:t>
      </w:r>
      <w:r w:rsidRPr="004563EB">
        <w:rPr>
          <w:color w:val="000000"/>
          <w:sz w:val="28"/>
          <w:szCs w:val="28"/>
        </w:rPr>
        <w:lastRenderedPageBreak/>
        <w:t>платье, пытаясь, не вызвав подозрений, максимально приблизиться к месту проведения теракта.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 xml:space="preserve">Профессиональных террористов-смертников не бывает, так как нельзя дважды совершить акт самоубийства. Если смертник не является </w:t>
      </w:r>
      <w:proofErr w:type="spellStart"/>
      <w:r w:rsidRPr="004563EB">
        <w:rPr>
          <w:color w:val="000000"/>
          <w:sz w:val="28"/>
          <w:szCs w:val="28"/>
        </w:rPr>
        <w:t>социопатом</w:t>
      </w:r>
      <w:proofErr w:type="spellEnd"/>
      <w:r w:rsidRPr="004563EB">
        <w:rPr>
          <w:color w:val="000000"/>
          <w:sz w:val="28"/>
          <w:szCs w:val="28"/>
        </w:rPr>
        <w:t xml:space="preserve"> (психически нездоровой личностью), то перед совершением акции он испытывает сильнейшую тревогу, страх, волнение, ненависть. Эти состояния можно фиксировать по мимике, движениям, поворотам головы, другим поведенческим признакам.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1. Признаки поведения террористов в месте проведения террористической акции.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Сосредоточенность. Повышенный уровень концентрации террориста-смертника может выражаться в отсутствии реакции на попытки установить с ним контакт и на иные внешние воздействия.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Несоответствие поведения окружающей обстановке. При приближении к месту совершения теракта смертник может совершать обряд молитвы, что создает впечатление его разговора с кем-то или шептания. Непосредственно перед приведением взрывного устройства в действие для смертника будет характерно усиление тембра произносимой молитвы, сопровождающееся движениями, «омывающими» лицо руками. При этом в речи смертника можно выделить такие арабские слова, как «</w:t>
      </w:r>
      <w:proofErr w:type="spellStart"/>
      <w:r w:rsidRPr="004563EB">
        <w:rPr>
          <w:color w:val="000000"/>
          <w:sz w:val="28"/>
          <w:szCs w:val="28"/>
        </w:rPr>
        <w:t>иншалла</w:t>
      </w:r>
      <w:proofErr w:type="spellEnd"/>
      <w:r w:rsidRPr="004563EB">
        <w:rPr>
          <w:color w:val="000000"/>
          <w:sz w:val="28"/>
          <w:szCs w:val="28"/>
        </w:rPr>
        <w:t>» (восхваление Аллаха), «</w:t>
      </w:r>
      <w:proofErr w:type="spellStart"/>
      <w:r w:rsidRPr="004563EB">
        <w:rPr>
          <w:color w:val="000000"/>
          <w:sz w:val="28"/>
          <w:szCs w:val="28"/>
        </w:rPr>
        <w:t>валабелла</w:t>
      </w:r>
      <w:proofErr w:type="spellEnd"/>
      <w:r w:rsidRPr="004563EB">
        <w:rPr>
          <w:color w:val="000000"/>
          <w:sz w:val="28"/>
          <w:szCs w:val="28"/>
        </w:rPr>
        <w:t>» (клянусь Аллахом), «</w:t>
      </w:r>
      <w:proofErr w:type="spellStart"/>
      <w:r w:rsidRPr="004563EB">
        <w:rPr>
          <w:color w:val="000000"/>
          <w:sz w:val="28"/>
          <w:szCs w:val="28"/>
        </w:rPr>
        <w:t>джаханнам</w:t>
      </w:r>
      <w:proofErr w:type="spellEnd"/>
      <w:r w:rsidRPr="004563EB">
        <w:rPr>
          <w:color w:val="000000"/>
          <w:sz w:val="28"/>
          <w:szCs w:val="28"/>
        </w:rPr>
        <w:t>» (исламский ад), «</w:t>
      </w:r>
      <w:proofErr w:type="spellStart"/>
      <w:r w:rsidRPr="004563EB">
        <w:rPr>
          <w:color w:val="000000"/>
          <w:sz w:val="28"/>
          <w:szCs w:val="28"/>
        </w:rPr>
        <w:t>истишхад</w:t>
      </w:r>
      <w:proofErr w:type="spellEnd"/>
      <w:r w:rsidRPr="004563EB">
        <w:rPr>
          <w:color w:val="000000"/>
          <w:sz w:val="28"/>
          <w:szCs w:val="28"/>
        </w:rPr>
        <w:t>» (стремление к «</w:t>
      </w:r>
      <w:proofErr w:type="spellStart"/>
      <w:r w:rsidRPr="004563EB">
        <w:rPr>
          <w:color w:val="000000"/>
          <w:sz w:val="28"/>
          <w:szCs w:val="28"/>
        </w:rPr>
        <w:t>шахидству</w:t>
      </w:r>
      <w:proofErr w:type="spellEnd"/>
      <w:r w:rsidRPr="004563EB">
        <w:rPr>
          <w:color w:val="000000"/>
          <w:sz w:val="28"/>
          <w:szCs w:val="28"/>
        </w:rPr>
        <w:t>»).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Поведение, характеризующееся отсутствием интереса к будущему. Например, покупка билета для проезда в один конец, игнорирование сдачи при совершении покупок, оставление ценных вещей.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Нахождение рук в карманах одежды для приведения в действие взрывного устройства. При использовании дистанционных средств инициирования взрыва или таймера руки могут быть свободными.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Целеустремленное движение по прямой траектории к какому-либо объекту, часто прокладывая себе путь непосредственно сквозь скопление людей. При визуальном обнаружении цели у террориста-смертника включается т.н. «туннельное зрение», при котором он перестает видеть происходящее вокруг него.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2. К признакам, характеризующим внешний вид террориста-смертника, можно отнести следующее: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В связи с особым психофизиологическим состоянием смертника для него крайне характерен отток крови от лица – «белое лицо». Взгляд наркомана.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lastRenderedPageBreak/>
        <w:t>Обильное потоотделение, что может свидетельствовать о потенциальной угрозе со стороны объекта в совокупности с рядом других признаков.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Скованность в движениях вследствие неудобств из-за прикрепления к телу взрывного устройства.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При так называемом «отправлении в рай» террорист-смертник, согласно мусульманским традициям, может использовать в качестве предметов гигиены травяные или цветочные ароматы.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В целях маскировки взрывного устройства (ВУ), закрепления его на теле, обычно используется неестественно свободная одежда, в результате чего возникают визуальные диспропорции между размерами головы и тела. Кроме того, признаком может служить одежда, явно не соответствующая погоде (например, пальто в жаркий день). У женщин, как правило, длинное платье или юбка (возможно, черная), косынка на голове с узлом на затылке. Мужчины чисто выбриты (подготовка к обряду погребения), в безукоризненно чистой обуви.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Зачастую среди элементов одежды (брюки, платок, пиджак и т.д.) присутствует белый цвет, который в соответствии с мусульманскими традициями свидетельствует о том, что человек идет на «самопожертвование».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В целях изменения внешности борода может быть сбрита, а волосы подстрижены незадолго до дня предполагаемого теракта, что проявляется в заметном отличии цвета кожи на выбритых участках тела от цвета остальных частей.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В отдельных случаях ВУ может находиться в руках исполнителя теракта, для чего используются сумки больших размеров или чемоданы. Наряду с этим, для перемещения ВУ также используются рюкзаки и заплечные сумки. Если же взрывное устройство находится в пакете (сумке, рюкзаке и т. д.), то подрывник осторожно относится к переносимым вещам, обычно прижимает их к себе и периодически непроизвольно ощупывает.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3. Признаки передвижения террористов в пассажиропотоке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(на транспорте):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внимательное изучение обстановки на объектах всех видов транспорта, стремление незаметно исчезнуть при появлении нарядов полиции;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применение различного рода ухищрений с целью уклонения от досмотра или снижения внимания досмотровых служб, повышенная нервозность при досмотрах;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lastRenderedPageBreak/>
        <w:t>- похищение либо приобретение поддельных документов, дающих право посадки на транспорт;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наличие не положенной форменной одежды сотрудников объектов транспорта;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преднамеренное оставление вещей в местах сосредоточения пассажиров;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сдача в камеру хранения вещей одним лицом, а получение другим;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неприбытие на посадку после сдачи вещей в багаж, незапланированная высадка на станции, не являющейся пунктом назначения согласно проездному документу;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нанесение во время движения различных пометок, условных обозначений на карты, схемы, чертежи, проведение хронометража движения.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4. Признаки планирования террористической акции: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проведение террористами разведки в местах возможного осуществления террористических акций;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необоснованное вступление в контакт с сотрудниками объекта и его охраны, выведывание у них режима работы, порядка доступа, обеспечения безопасности и т.д.;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приобретение грима и других необходимых аксессуаров для изменения внешности;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приобретение документов с новыми установочными данными;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сообщение в органы власти, правопорядка ложной информации, отвлекающей силы и средства от планируемой террористической акции на объекте;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внезапное исчезновение лиц с вышеуказанными признаками из постоянных и временных мест проживания;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хвастовство в окружении о появлении крупных сумм денежных средств;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поиск лиц, способных за солидное вознаграждение выполнить малозначительную работу (передача пакета, свертка, посылки) в целях перемещения ВУ к месту проведения терактов.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5. Признаки изготовления взрывных устройств: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знание лицом элементов и технологий изготовления ВУ, попытки получения дополнительной информации у носителей таких знаний;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lastRenderedPageBreak/>
        <w:t>- поиск возможности приобретения, закупка или наличие взрывчатого вещества, средств инициирования взрыва или компонентов, которые могут использоваться при изготовлении ВУ, в т.ч. алюминиевой пудры, аммиачной селитры;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приобретение, доработка электронных часов, таймеров, приемников, пейджеров, передатчиков кодированных радиосигналов.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Следует также учитывать, что злоумышленники весьма изощренно камуфлируют самодельные взрывные устройства (СВУ).  В качестве камуфляжа могут использоваться различные предметы бытового назначения, не вызывающие никакого подозрения (например, жестяные банки, картонные пакеты из-под напитков, пачки сигарет, детские игрушки, коробки от аудио (видео) кассет и т.п.).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6. Основные признаки самодельного взрывного устройства: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наличие в конструкции штатных боеприпасов (снарядов и т.д.);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наличие звука работы часового механизма;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наличие запаха горючих веществ, запаха миндаля;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наличие характерных признаков горения;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наличие нехарактерных для данного предмета элементов конструкции;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наличие у предмета изделий, напоминающих радиоприемные устройства (антенны, провода и т.п.);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proofErr w:type="gramStart"/>
      <w:r w:rsidRPr="004563EB">
        <w:rPr>
          <w:color w:val="000000"/>
          <w:sz w:val="28"/>
          <w:szCs w:val="28"/>
        </w:rPr>
        <w:t>- наличие у постоянно открывающихся объектов (окна, двери, люки и т.п.) посторонних предметов, например, растяжек.</w:t>
      </w:r>
      <w:proofErr w:type="gramEnd"/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наличие в помещении или на местности предметов, явно не характерных для окружающей обстановки;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наличие в помещении или на местности бесхозных объектов.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4563EB">
        <w:rPr>
          <w:noProof/>
          <w:color w:val="000000"/>
          <w:sz w:val="28"/>
          <w:szCs w:val="28"/>
        </w:rPr>
        <w:drawing>
          <wp:inline distT="0" distB="0" distL="0" distR="0">
            <wp:extent cx="1300792" cy="1235906"/>
            <wp:effectExtent l="19050" t="0" r="0" b="0"/>
            <wp:docPr id="1" name="Рисунок 1" descr="http://val-adm.ru/uploads/image/AntiTerro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-adm.ru/uploads/image/AntiTerror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69" cy="123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3EB">
        <w:rPr>
          <w:color w:val="000000"/>
          <w:sz w:val="28"/>
          <w:szCs w:val="28"/>
        </w:rPr>
        <w:t>       </w:t>
      </w:r>
      <w:r w:rsidRPr="004563EB">
        <w:rPr>
          <w:noProof/>
          <w:color w:val="000000"/>
          <w:sz w:val="28"/>
          <w:szCs w:val="28"/>
        </w:rPr>
        <w:drawing>
          <wp:inline distT="0" distB="0" distL="0" distR="0">
            <wp:extent cx="1508249" cy="1380227"/>
            <wp:effectExtent l="19050" t="0" r="0" b="0"/>
            <wp:docPr id="2" name="Рисунок 2" descr="http://val-adm.ru/uploads/image/AntiTerro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l-adm.ru/uploads/image/AntiTerror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53" cy="138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b/>
          <w:color w:val="000000"/>
          <w:sz w:val="28"/>
          <w:szCs w:val="28"/>
        </w:rPr>
      </w:pPr>
      <w:r w:rsidRPr="004563EB">
        <w:rPr>
          <w:b/>
          <w:color w:val="000000"/>
          <w:sz w:val="28"/>
          <w:szCs w:val="28"/>
        </w:rPr>
        <w:t>Самодельное взрывное устройство в световых плафонах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4563E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50353" cy="2432650"/>
            <wp:effectExtent l="19050" t="0" r="2497" b="0"/>
            <wp:docPr id="3" name="Рисунок 3" descr="http://val-adm.ru/uploads/image/AntiTerro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l-adm.ru/uploads/image/AntiTerror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37" cy="24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b/>
          <w:color w:val="000000"/>
          <w:sz w:val="28"/>
          <w:szCs w:val="28"/>
        </w:rPr>
      </w:pPr>
      <w:r w:rsidRPr="004563EB">
        <w:rPr>
          <w:b/>
          <w:color w:val="000000"/>
          <w:sz w:val="28"/>
          <w:szCs w:val="28"/>
        </w:rPr>
        <w:t>Самодельное взрывное устройство на основе штатных боеприпасов</w:t>
      </w:r>
    </w:p>
    <w:p w:rsid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  <w:lang w:val="en-US"/>
        </w:rPr>
      </w:pPr>
      <w:r w:rsidRPr="004563EB">
        <w:rPr>
          <w:noProof/>
          <w:color w:val="000000"/>
          <w:sz w:val="28"/>
          <w:szCs w:val="28"/>
        </w:rPr>
        <w:drawing>
          <wp:inline distT="0" distB="0" distL="0" distR="0">
            <wp:extent cx="1359088" cy="2104845"/>
            <wp:effectExtent l="19050" t="0" r="0" b="0"/>
            <wp:docPr id="4" name="Рисунок 4" descr="http://val-adm.ru/uploads/image/AntiTerror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l-adm.ru/uploads/image/AntiTerror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8" cy="210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b/>
          <w:color w:val="000000"/>
          <w:sz w:val="28"/>
          <w:szCs w:val="28"/>
        </w:rPr>
      </w:pPr>
      <w:r w:rsidRPr="004563EB">
        <w:rPr>
          <w:b/>
          <w:color w:val="000000"/>
          <w:sz w:val="28"/>
          <w:szCs w:val="28"/>
        </w:rPr>
        <w:t>Самодельные взрывные устройства в банках из-под напитков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 </w:t>
      </w:r>
      <w:r w:rsidRPr="004563EB">
        <w:rPr>
          <w:noProof/>
          <w:color w:val="000000"/>
          <w:sz w:val="28"/>
          <w:szCs w:val="28"/>
        </w:rPr>
        <w:drawing>
          <wp:inline distT="0" distB="0" distL="0" distR="0">
            <wp:extent cx="2040890" cy="1594485"/>
            <wp:effectExtent l="19050" t="0" r="0" b="0"/>
            <wp:docPr id="5" name="Рисунок 5" descr="http://val-adm.ru/uploads/image/AntiTerror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l-adm.ru/uploads/image/AntiTerror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3EB">
        <w:rPr>
          <w:color w:val="000000"/>
          <w:sz w:val="28"/>
          <w:szCs w:val="28"/>
        </w:rPr>
        <w:t>     </w:t>
      </w:r>
      <w:r w:rsidRPr="004563EB">
        <w:rPr>
          <w:noProof/>
          <w:color w:val="000000"/>
          <w:sz w:val="28"/>
          <w:szCs w:val="28"/>
        </w:rPr>
        <w:drawing>
          <wp:inline distT="0" distB="0" distL="0" distR="0">
            <wp:extent cx="2534369" cy="2035261"/>
            <wp:effectExtent l="19050" t="0" r="0" b="0"/>
            <wp:docPr id="6" name="Рисунок 6" descr="http://val-adm.ru/uploads/image/AntiTerror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al-adm.ru/uploads/image/AntiTerror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64" cy="203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b/>
          <w:color w:val="000000"/>
          <w:sz w:val="28"/>
          <w:szCs w:val="28"/>
        </w:rPr>
      </w:pPr>
      <w:r w:rsidRPr="004563EB">
        <w:rPr>
          <w:b/>
          <w:color w:val="000000"/>
          <w:sz w:val="28"/>
          <w:szCs w:val="28"/>
        </w:rPr>
        <w:t>Примеры маскировки СВУ</w:t>
      </w:r>
    </w:p>
    <w:p w:rsidR="004563EB" w:rsidRPr="004563EB" w:rsidRDefault="004563EB" w:rsidP="004563EB">
      <w:pPr>
        <w:pStyle w:val="d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229870</wp:posOffset>
            </wp:positionV>
            <wp:extent cx="1536700" cy="2061210"/>
            <wp:effectExtent l="19050" t="0" r="6350" b="0"/>
            <wp:wrapSquare wrapText="bothSides"/>
            <wp:docPr id="7" name="Рисунок 7" descr="http://val-adm.ru/uploads/image/AntiTerror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l-adm.ru/uploads/image/AntiTerror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3EB">
        <w:rPr>
          <w:color w:val="000000"/>
          <w:sz w:val="28"/>
          <w:szCs w:val="28"/>
        </w:rPr>
        <w:t> </w:t>
      </w:r>
      <w:r w:rsidRPr="004563EB">
        <w:rPr>
          <w:noProof/>
          <w:color w:val="000000"/>
          <w:sz w:val="28"/>
          <w:szCs w:val="28"/>
        </w:rPr>
        <w:drawing>
          <wp:inline distT="0" distB="0" distL="0" distR="0">
            <wp:extent cx="3466483" cy="2631057"/>
            <wp:effectExtent l="19050" t="0" r="617" b="0"/>
            <wp:docPr id="8" name="Рисунок 8" descr="http://val-adm.ru/uploads/image/AntiTerror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al-adm.ru/uploads/image/AntiTerror/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74" cy="263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EB" w:rsidRPr="004563EB" w:rsidRDefault="004563EB" w:rsidP="004563EB">
      <w:pPr>
        <w:pStyle w:val="d"/>
        <w:shd w:val="clear" w:color="auto" w:fill="FFFFFF"/>
        <w:spacing w:before="192" w:beforeAutospacing="0" w:after="216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4563EB">
        <w:rPr>
          <w:b/>
          <w:color w:val="000000"/>
          <w:sz w:val="28"/>
          <w:szCs w:val="28"/>
        </w:rPr>
        <w:t>Банка из под детского питания, заполненная тротилом (массой 1 кг) с самодельным взрывателем, изготовленным из штатного боеприпаса.</w:t>
      </w:r>
      <w:proofErr w:type="gramEnd"/>
    </w:p>
    <w:p w:rsidR="004563EB" w:rsidRPr="004563EB" w:rsidRDefault="004563EB" w:rsidP="004563EB">
      <w:pPr>
        <w:pStyle w:val="d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Устройство полностью готово к применению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 </w:t>
      </w:r>
      <w:r w:rsidRPr="004563EB">
        <w:rPr>
          <w:noProof/>
          <w:color w:val="000000"/>
          <w:sz w:val="28"/>
          <w:szCs w:val="28"/>
        </w:rPr>
        <w:drawing>
          <wp:inline distT="0" distB="0" distL="0" distR="0">
            <wp:extent cx="4130465" cy="3096883"/>
            <wp:effectExtent l="19050" t="0" r="3385" b="0"/>
            <wp:docPr id="9" name="Рисунок 9" descr="http://val-adm.ru/uploads/image/AntiTerror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al-adm.ru/uploads/image/AntiTerror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51" cy="309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center"/>
        <w:rPr>
          <w:b/>
          <w:color w:val="000000"/>
          <w:sz w:val="28"/>
          <w:szCs w:val="28"/>
        </w:rPr>
      </w:pPr>
      <w:r w:rsidRPr="004563EB">
        <w:rPr>
          <w:b/>
          <w:color w:val="000000"/>
          <w:sz w:val="28"/>
          <w:szCs w:val="28"/>
        </w:rPr>
        <w:t>Взрывное устройство, крепящееся на теле террориста-смертника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7. Признаки подготовки транспортных средств, для совершения теракта: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приобретение автомобилей распространенных моделей, подержанных, без нотариального оформления на право пользования;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уклонение от переоформления приобретенных автомобилей в установленном порядке через подразделения ГИБДД;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lastRenderedPageBreak/>
        <w:t>- пренебрежительное отношение к техническому состоянию, внешнему виду машины;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дооборудование машины различного рода тайниками, техническая доработка бензобаков и других технологических емкостей;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необъяснимое замешательство, растерянность или испуг при внезапном появлении посторонних во время загрузки транспортного средства.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8. Признаки психологической подготовки террористов-смертников: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противопоставление молодежи родителям и людям старшего поколения в целях сталкивания их друг с другом на основе противоположных взглядов, идеологии религии;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пропаганда среди молодежи идеологии пренебрежения к труду, физической работе, социальной справедливости;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привитие чувства собственного «ваххабитского» достоинства и превосходства над лицами, исповедующими ислам другого толка;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насаждение чувств безнаказанности за посягательство на имущество «неверных»;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призывы к проявлениям «джихада» с применением оружия, взрывчатых веществ, ядов;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агитация к вытеснению иных народов с Северного Кавказа и к захвату их собственности силовыми методами.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Индикаторами формирования мотивов террористической деятельности может быть также проявление лицом интереса: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к деятельности террористических организаций, их философии, программным документам или инструкциям, в которых излагаются идеи террора и методы его осуществления;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к способам совершения террористических акций, возможностям приобретения или изготовления средств, которые могут быть использованы для этого;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- к местам работы и жительства должностных лиц – объектов террористических устремлений.</w:t>
      </w:r>
    </w:p>
    <w:p w:rsidR="004563EB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563EB">
        <w:rPr>
          <w:rStyle w:val="a4"/>
          <w:color w:val="000000"/>
          <w:sz w:val="28"/>
          <w:szCs w:val="28"/>
        </w:rPr>
        <w:t>В случае подозрения о подготовке к совершению террористического акта необходимо незамедлительно информировать дежурную службу Управления ФСБ России по Белгородской области по телефонам: 27-32-02, 50-82-92.</w:t>
      </w:r>
    </w:p>
    <w:p w:rsidR="00E9030E" w:rsidRPr="004563EB" w:rsidRDefault="004563EB" w:rsidP="004563EB">
      <w:pPr>
        <w:pStyle w:val="a3"/>
        <w:shd w:val="clear" w:color="auto" w:fill="FFFFFF"/>
        <w:spacing w:before="192" w:beforeAutospacing="0" w:after="216" w:afterAutospacing="0"/>
        <w:jc w:val="right"/>
        <w:rPr>
          <w:color w:val="000000"/>
          <w:sz w:val="28"/>
          <w:szCs w:val="28"/>
        </w:rPr>
      </w:pPr>
      <w:r w:rsidRPr="004563EB">
        <w:rPr>
          <w:color w:val="000000"/>
          <w:sz w:val="28"/>
          <w:szCs w:val="28"/>
        </w:rPr>
        <w:t>Аппарат Оперативного штаба в Белгородской области</w:t>
      </w:r>
    </w:p>
    <w:sectPr w:rsidR="00E9030E" w:rsidRPr="004563EB" w:rsidSect="00E9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4563EB"/>
    <w:rsid w:val="004563EB"/>
    <w:rsid w:val="00D57366"/>
    <w:rsid w:val="00E9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3EB"/>
    <w:rPr>
      <w:b/>
      <w:bCs/>
    </w:rPr>
  </w:style>
  <w:style w:type="character" w:customStyle="1" w:styleId="apple-converted-space">
    <w:name w:val="apple-converted-space"/>
    <w:basedOn w:val="a0"/>
    <w:rsid w:val="004563EB"/>
  </w:style>
  <w:style w:type="paragraph" w:customStyle="1" w:styleId="d">
    <w:name w:val="d"/>
    <w:basedOn w:val="a"/>
    <w:rsid w:val="0045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2615</Words>
  <Characters>14912</Characters>
  <Application>Microsoft Office Word</Application>
  <DocSecurity>0</DocSecurity>
  <Lines>124</Lines>
  <Paragraphs>34</Paragraphs>
  <ScaleCrop>false</ScaleCrop>
  <Company>MICROSOFT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Rubtsov</cp:lastModifiedBy>
  <cp:revision>1</cp:revision>
  <dcterms:created xsi:type="dcterms:W3CDTF">2016-12-14T06:30:00Z</dcterms:created>
  <dcterms:modified xsi:type="dcterms:W3CDTF">2016-12-14T06:39:00Z</dcterms:modified>
</cp:coreProperties>
</file>