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bCs/>
        </w:rPr>
      </w:pPr>
      <w:r>
        <w:rPr>
          <w:b/>
          <w:bCs/>
          <w:lang w:val="ru-RU"/>
        </w:rPr>
        <w:t xml:space="preserve">Проект постановления</w:t>
      </w:r>
      <w:r>
        <w:rPr>
          <w:b/>
          <w:bCs/>
          <w:lang w:val="ru-RU"/>
        </w:rPr>
      </w:r>
      <w:r>
        <w:rPr>
          <w:b/>
          <w:bCs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9300" w:type="dxa"/>
        <w:tblInd w:w="-34" w:type="dxa"/>
        <w:tblLook w:val="01E0" w:firstRow="1" w:lastRow="1" w:firstColumn="1" w:lastColumn="1" w:noHBand="0" w:noVBand="0"/>
      </w:tblPr>
      <w:tblGrid>
        <w:gridCol w:w="4680"/>
        <w:gridCol w:w="3699"/>
        <w:gridCol w:w="9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1041"/>
              <w:ind w:left="-108"/>
              <w:jc w:val="both"/>
              <w:spacing w:line="256" w:lineRule="auto"/>
              <w:tabs>
                <w:tab w:val="left" w:pos="-392" w:leader="none"/>
                <w:tab w:val="left" w:pos="4560" w:leader="none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поста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новление   администрации Красногвардейского   района     от 24 декабря 2024 года № 151                 «Об утверждении муниципальной программы Красногвардейского района «Развитие физической культуры и спорта в Красногвардейском районе Белгородской области»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9" w:type="dxa"/>
            <w:textDirection w:val="lrTb"/>
            <w:noWrap w:val="false"/>
          </w:tcPr>
          <w:p>
            <w:pPr>
              <w:ind w:firstLine="132"/>
              <w:jc w:val="both"/>
              <w:spacing w:line="25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</w:r>
            <w:r>
              <w:rPr>
                <w:bCs/>
                <w:color w:val="000000"/>
                <w:sz w:val="28"/>
                <w:szCs w:val="28"/>
                <w:lang w:val="ru-RU"/>
              </w:rPr>
            </w:r>
            <w:r>
              <w:rPr>
                <w:bCs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</w:r>
            <w:r>
              <w:rPr>
                <w:bCs/>
                <w:color w:val="000000"/>
                <w:sz w:val="28"/>
                <w:szCs w:val="28"/>
                <w:lang w:val="ru-RU"/>
              </w:rPr>
            </w:r>
            <w:r>
              <w:rPr>
                <w:bCs/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widowControl w:val="off"/>
        <w:rPr>
          <w:b/>
          <w:sz w:val="28"/>
          <w:lang w:val="ru-RU"/>
        </w:rPr>
      </w:pPr>
      <w:r>
        <w:rPr>
          <w:sz w:val="28"/>
          <w:lang w:val="ru-RU"/>
        </w:rPr>
        <w:t xml:space="preserve">В целях актуализации и повышения эффективности реализации муниципальной программы «</w:t>
      </w:r>
      <w:r>
        <w:rPr>
          <w:bCs/>
          <w:color w:val="000000"/>
          <w:sz w:val="28"/>
          <w:szCs w:val="28"/>
          <w:lang w:val="ru-RU"/>
        </w:rPr>
        <w:t xml:space="preserve">Развитие физической культуры и спорта в Красногвардейском районе Белгородской области</w:t>
      </w:r>
      <w:r>
        <w:rPr>
          <w:sz w:val="28"/>
          <w:lang w:val="ru-RU"/>
        </w:rPr>
        <w:t xml:space="preserve">», утвержденной постановлением администрации Красногвардейского района от        24</w:t>
      </w:r>
      <w:r>
        <w:rPr>
          <w:sz w:val="28"/>
        </w:rPr>
        <w:t xml:space="preserve"> </w:t>
      </w:r>
      <w:r>
        <w:rPr>
          <w:sz w:val="28"/>
          <w:lang w:val="ru-RU"/>
        </w:rPr>
        <w:t xml:space="preserve">декабря 2024 года №</w:t>
      </w:r>
      <w:r>
        <w:rPr>
          <w:sz w:val="28"/>
        </w:rPr>
        <w:t xml:space="preserve"> </w:t>
      </w:r>
      <w:r>
        <w:rPr>
          <w:sz w:val="28"/>
          <w:lang w:val="ru-RU"/>
        </w:rPr>
        <w:t xml:space="preserve">151 «</w:t>
      </w:r>
      <w:r>
        <w:rPr>
          <w:bCs/>
          <w:color w:val="000000"/>
          <w:sz w:val="28"/>
          <w:szCs w:val="28"/>
          <w:lang w:val="ru-RU"/>
        </w:rPr>
        <w:t xml:space="preserve">Об утверждении муниципальной программы Красногвардейского района «Развитие физической культуры и спорта в Красногвардейском районе Белгородской области</w:t>
      </w:r>
      <w:r>
        <w:rPr>
          <w:sz w:val="28"/>
          <w:lang w:val="ru-RU"/>
        </w:rPr>
        <w:t xml:space="preserve">» (далее</w:t>
      </w:r>
      <w:r>
        <w:rPr>
          <w:sz w:val="28"/>
        </w:rPr>
        <w:t xml:space="preserve"> </w:t>
      </w:r>
      <w:r>
        <w:rPr>
          <w:sz w:val="28"/>
          <w:lang w:val="ru-RU"/>
        </w:rPr>
        <w:t xml:space="preserve">– Программы), а также в соответствии с решением Муниципального совета от 29 апреля 2025 года № 5</w:t>
      </w:r>
      <w:r>
        <w:rPr>
          <w:color w:val="000000"/>
          <w:sz w:val="28"/>
        </w:rPr>
        <w:t xml:space="preserve">  “О внесении изменений и дополнений</w:t>
      </w:r>
      <w:r>
        <w:rPr>
          <w:color w:val="000000"/>
          <w:sz w:val="28"/>
          <w:lang w:val="ru-RU"/>
        </w:rPr>
        <w:t xml:space="preserve"> в решение двадцатого заседания </w:t>
      </w:r>
      <w:r>
        <w:rPr>
          <w:sz w:val="28"/>
          <w:lang w:val="ru-RU"/>
        </w:rPr>
        <w:t xml:space="preserve">Муниципального совета Красногвардейского района» от               25 декабря 2024 года № 5 </w:t>
      </w:r>
      <w:r>
        <w:rPr>
          <w:color w:val="000000"/>
          <w:sz w:val="28"/>
          <w:lang w:val="ru-RU"/>
        </w:rPr>
        <w:t xml:space="preserve">«О районном бюджете на 2025 год и плановый период 2026 и 2027 годов» администрация района                                                           </w:t>
      </w:r>
      <w:r>
        <w:rPr>
          <w:b/>
          <w:color w:val="000000"/>
          <w:sz w:val="28"/>
          <w:lang w:val="ru-RU"/>
        </w:rPr>
        <w:t xml:space="preserve">п о с т а н о в л я е т:</w:t>
      </w:r>
      <w:r>
        <w:rPr>
          <w:b/>
          <w:sz w:val="28"/>
          <w:lang w:val="ru-RU"/>
        </w:rPr>
      </w:r>
      <w:r>
        <w:rPr>
          <w:b/>
          <w:sz w:val="28"/>
          <w:lang w:val="ru-RU"/>
        </w:rPr>
      </w:r>
    </w:p>
    <w:p>
      <w:pPr>
        <w:ind w:firstLine="709"/>
        <w:jc w:val="both"/>
        <w:shd w:val="clear" w:color="auto" w:fill="ffffff"/>
        <w:widowControl w:val="off"/>
        <w:rPr>
          <w:lang w:val="ru-RU"/>
        </w:rPr>
      </w:pPr>
      <w:r>
        <w:rPr>
          <w:sz w:val="28"/>
          <w:lang w:val="ru-RU"/>
        </w:rPr>
        <w:t xml:space="preserve">1.</w:t>
      </w:r>
      <w:r>
        <w:rPr>
          <w:sz w:val="28"/>
        </w:rPr>
        <w:t xml:space="preserve"> </w:t>
      </w:r>
      <w:r>
        <w:rPr>
          <w:sz w:val="28"/>
          <w:lang w:val="ru-RU"/>
        </w:rPr>
        <w:t xml:space="preserve">Внести в постановление администрации Красногвардейского района от 2 декабря 2024</w:t>
      </w:r>
      <w:r>
        <w:rPr>
          <w:sz w:val="28"/>
        </w:rPr>
        <w:t xml:space="preserve"> </w:t>
      </w:r>
      <w:r>
        <w:rPr>
          <w:sz w:val="28"/>
          <w:lang w:val="ru-RU"/>
        </w:rPr>
        <w:t xml:space="preserve">года №</w:t>
      </w:r>
      <w:r>
        <w:rPr>
          <w:sz w:val="28"/>
        </w:rPr>
        <w:t xml:space="preserve"> </w:t>
      </w:r>
      <w:r>
        <w:rPr>
          <w:sz w:val="28"/>
          <w:lang w:val="ru-RU"/>
        </w:rPr>
        <w:t xml:space="preserve">151 «</w:t>
      </w:r>
      <w:r>
        <w:rPr>
          <w:bCs/>
          <w:color w:val="000000"/>
          <w:sz w:val="28"/>
          <w:szCs w:val="28"/>
          <w:lang w:val="ru-RU"/>
        </w:rPr>
        <w:t xml:space="preserve">Об утверждении муниципальной программы Красногвардейского района «Развитие физической культуры и спорта в Красногвардейском районе Белгородской области</w:t>
      </w:r>
      <w:r>
        <w:rPr>
          <w:sz w:val="28"/>
          <w:lang w:val="ru-RU"/>
        </w:rPr>
        <w:t xml:space="preserve"> следующие изменения:</w:t>
      </w:r>
      <w:r>
        <w:rPr>
          <w:lang w:val="ru-RU"/>
        </w:rPr>
      </w:r>
      <w:r>
        <w:rPr>
          <w:lang w:val="ru-RU"/>
        </w:rPr>
      </w:r>
    </w:p>
    <w:p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lang w:val="ru-RU"/>
        </w:rPr>
        <w:t xml:space="preserve">1.1.</w:t>
      </w:r>
      <w:r>
        <w:rPr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Показатель «Объемы финансового обеспечения за весь период реализации муниципальной программы Красногвардейского района (с расшифровкой плановых объемов бюджетных ассигнований по годам ее </w:t>
      </w:r>
      <w:r>
        <w:rPr>
          <w:color w:val="000000"/>
          <w:sz w:val="28"/>
          <w:lang w:val="ru-RU"/>
        </w:rPr>
        <w:t xml:space="preserve">реализации), а также прогнозный объем средств, привлекаемых из других источников» паспорта Программы изложить в следующей редакции: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Планируемый общий объем финансирования Программы составляет </w:t>
      </w:r>
      <w:r>
        <w:rPr>
          <w:color w:val="000000"/>
          <w:sz w:val="28"/>
          <w:lang w:val="ru-RU"/>
        </w:rPr>
        <w:t xml:space="preserve">227 599,45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рублей, в том числе:</w:t>
      </w: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2025 год – </w:t>
      </w:r>
      <w:r>
        <w:rPr>
          <w:color w:val="000000"/>
          <w:sz w:val="28"/>
          <w:lang w:val="ru-RU"/>
        </w:rPr>
        <w:t xml:space="preserve">50447,95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2026 год – 35080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2027 год – 35518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2028 год – 35518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2029 год – 35518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2030 год – 35518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рублей.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Объемы финансирования, предусмотренные Программой, подлежат ежегодной корректировке при формировании бюджета на очередной финансовый год.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Источник финансирования: бюджет Красногвардейского района».</w:t>
      </w: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</w:p>
    <w:p>
      <w:pPr>
        <w:ind w:firstLine="709"/>
        <w:jc w:val="both"/>
        <w:spacing w:line="0" w:lineRule="atLeast"/>
        <w:shd w:val="clear" w:color="auto" w:fill="ffffff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1.2.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ru-RU"/>
        </w:rPr>
        <w:t xml:space="preserve">Пункт 5 раздела</w:t>
      </w:r>
      <w:r>
        <w:rPr>
          <w:color w:val="000000"/>
          <w:sz w:val="28"/>
          <w:szCs w:val="28"/>
        </w:rPr>
        <w:t xml:space="preserve"> III</w:t>
      </w:r>
      <w:r>
        <w:rPr>
          <w:color w:val="000000"/>
          <w:sz w:val="28"/>
          <w:szCs w:val="28"/>
          <w:lang w:val="ru-RU"/>
        </w:rPr>
        <w:t xml:space="preserve"> Программы изложить в следующей редакции: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pacing w:line="0" w:lineRule="atLeast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spacing w:line="0" w:lineRule="atLeast"/>
        <w:shd w:val="clear" w:color="auto" w:fill="ffffff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5. Финансовое обеспечение муниципальной программы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spacing w:line="0" w:lineRule="atLeast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spacing w:line="0" w:lineRule="atLeast"/>
        <w:shd w:val="clear" w:color="auto" w:fill="ffffff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Объем финансирования муниципальной программы за счет средств районного бюджета в 2025-2030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ru-RU"/>
        </w:rPr>
        <w:t xml:space="preserve">годах составит </w:t>
      </w:r>
      <w:r>
        <w:rPr>
          <w:color w:val="000000"/>
          <w:sz w:val="28"/>
          <w:szCs w:val="28"/>
          <w:lang w:val="ru-RU"/>
        </w:rPr>
        <w:t xml:space="preserve">214 159,95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szCs w:val="28"/>
          <w:lang w:val="ru-RU"/>
        </w:rPr>
        <w:t xml:space="preserve">тыс. рублей всего,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spacing w:line="0" w:lineRule="atLeast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spacing w:line="0" w:lineRule="atLeast"/>
        <w:shd w:val="clear" w:color="auto" w:fill="ffffff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том числе по годам: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2025 год –</w:t>
      </w:r>
      <w:r>
        <w:rPr>
          <w:color w:val="000000"/>
          <w:sz w:val="28"/>
          <w:lang w:val="ru-RU"/>
        </w:rPr>
        <w:t xml:space="preserve"> 48207,95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2026 год – 32840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2027 год – 33278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2028 год – 33278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2029 год – 33278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2030 год – 33278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ru-RU"/>
        </w:rPr>
        <w:t xml:space="preserve">тыс. рублей.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В разрезе комплекса процессных мероприятий: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«Проведение физкультурно-массовых и спортивных мероприятий»</w:t>
      </w:r>
      <w:r>
        <w:rPr>
          <w:color w:val="000000"/>
          <w:sz w:val="28"/>
          <w:lang w:val="ru-RU"/>
        </w:rPr>
        <w:t xml:space="preserve"> - </w:t>
      </w:r>
      <w:r>
        <w:rPr>
          <w:color w:val="000000"/>
          <w:sz w:val="28"/>
          <w:lang w:val="ru-RU"/>
        </w:rPr>
        <w:t xml:space="preserve">181 956,63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ru-RU"/>
        </w:rPr>
        <w:t xml:space="preserve">тыс. рублей всего, в том числе по годам: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2025 год – </w:t>
      </w:r>
      <w:r>
        <w:rPr>
          <w:color w:val="000000"/>
          <w:sz w:val="28"/>
          <w:lang w:val="ru-RU"/>
        </w:rPr>
        <w:t xml:space="preserve">42207,63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2026 год – 27893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2027 год – 27964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2028 год – 27964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2029 год – 27964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2030 год – 27964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рублей.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2.«Обеспечение функций управления в сфере физической культуры и спорта» - </w:t>
      </w:r>
      <w:r>
        <w:rPr>
          <w:color w:val="000000"/>
          <w:sz w:val="28"/>
          <w:szCs w:val="28"/>
          <w:lang w:val="ru-RU"/>
        </w:rPr>
        <w:t xml:space="preserve">32 203,32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ru-RU"/>
        </w:rPr>
        <w:t xml:space="preserve">тыс. рублей всего, в том числе по годам: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2025 год – </w:t>
      </w:r>
      <w:r>
        <w:rPr>
          <w:color w:val="000000"/>
          <w:sz w:val="28"/>
          <w:lang w:val="ru-RU"/>
        </w:rPr>
        <w:t xml:space="preserve">6000,32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2026 год – 4947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2027 год – 5314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2028 год – 5314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2029 год – 5314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2030 год – 5314 тыс. рублей.</w:t>
      </w: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В разрезе мероприятий:</w:t>
      </w: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</w:p>
    <w:p>
      <w:pPr>
        <w:jc w:val="both"/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lang w:val="ru-RU"/>
        </w:rPr>
        <w:t xml:space="preserve">        </w:t>
      </w:r>
      <w:r>
        <w:rPr>
          <w:color w:val="000000"/>
          <w:sz w:val="28"/>
          <w:lang w:val="ru-RU"/>
        </w:rPr>
        <w:t xml:space="preserve">1.1 «Обеспечение деятельности (оказание услуг) муниципальных учреждений (организаций» - 31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176,0 </w:t>
      </w:r>
      <w:r>
        <w:rPr>
          <w:color w:val="000000"/>
          <w:sz w:val="28"/>
          <w:szCs w:val="28"/>
          <w:lang w:val="ru-RU"/>
        </w:rPr>
        <w:t xml:space="preserve">тыс. рублей всего, в том числе по годам: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2025 год – 4973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2026 год – 4947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2027 год – 5314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2028 год – 5314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2029 год – 5314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lang w:val="ru-RU"/>
        </w:rPr>
        <w:t xml:space="preserve">2030 год – 5314 тыс. рублей.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jc w:val="both"/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lang w:val="ru-RU"/>
        </w:rPr>
        <w:t xml:space="preserve">        1.2 «Мероприятия» - </w:t>
      </w:r>
      <w:r>
        <w:rPr>
          <w:color w:val="000000"/>
          <w:sz w:val="28"/>
          <w:lang w:val="ru-RU"/>
        </w:rPr>
        <w:t xml:space="preserve">1027,32</w:t>
      </w:r>
      <w:r>
        <w:rPr>
          <w:color w:val="000000"/>
          <w:sz w:val="28"/>
          <w:lang w:val="ru-RU"/>
        </w:rPr>
        <w:t xml:space="preserve">,0 </w:t>
      </w:r>
      <w:r>
        <w:rPr>
          <w:color w:val="000000"/>
          <w:sz w:val="28"/>
          <w:szCs w:val="28"/>
          <w:lang w:val="ru-RU"/>
        </w:rPr>
        <w:t xml:space="preserve">тыс. рублей всего, в том числе по годам: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2025 год – </w:t>
      </w:r>
      <w:r>
        <w:rPr>
          <w:color w:val="000000"/>
          <w:sz w:val="28"/>
          <w:lang w:val="ru-RU"/>
        </w:rPr>
        <w:t xml:space="preserve">1027,32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2026 год – 0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2027 год – 0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2028 год – 0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2029 год – 0 тыс. рублей;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2030 год – 0 тыс. рублей.</w:t>
      </w: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</w:p>
    <w:p>
      <w:pPr>
        <w:ind w:firstLine="709"/>
        <w:jc w:val="both"/>
        <w:shd w:val="clear" w:color="auto" w:fill="ffffff"/>
        <w:rPr>
          <w:lang w:val="ru-RU"/>
        </w:rPr>
      </w:pPr>
      <w:r>
        <w:rPr>
          <w:color w:val="000000"/>
          <w:sz w:val="28"/>
          <w:lang w:val="ru-RU"/>
        </w:rPr>
        <w:t xml:space="preserve">Объемы финансирования, предусмотренные Программой, подлежат ежегодной корректировке при формировании бюджета на очередной финансовый год.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Источник финансирования: бюджет Красногвардейского района.</w:t>
      </w: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both"/>
        <w:spacing w:line="283" w:lineRule="atLeas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Глава администрации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Красногвардейского района                </w:t>
      </w:r>
      <w:r>
        <w:rPr>
          <w:b/>
          <w:sz w:val="28"/>
          <w:szCs w:val="28"/>
          <w:lang w:val="ru-RU"/>
        </w:rPr>
        <w:t xml:space="preserve">                                        Г.И. Руденко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right="103"/>
        <w:jc w:val="both"/>
        <w:widowControl w:val="off"/>
        <w:rPr>
          <w:sz w:val="28"/>
          <w:szCs w:val="28"/>
          <w:lang w:val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851" w:left="1701" w:header="708" w:footer="708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9889"/>
        <w:gridCol w:w="5245"/>
      </w:tblGrid>
      <w:tr>
        <w:tblPrEx/>
        <w:trPr>
          <w:trHeight w:val="415"/>
        </w:trPr>
        <w:tc>
          <w:tcPr>
            <w:shd w:val="clear" w:color="auto" w:fill="auto"/>
            <w:tcW w:w="9889" w:type="dxa"/>
            <w:textDirection w:val="lrTb"/>
            <w:noWrap/>
          </w:tcPr>
          <w:p>
            <w:pPr>
              <w:spacing w:after="160" w:line="259" w:lineRule="auto"/>
              <w:tabs>
                <w:tab w:val="left" w:pos="7789" w:leader="none"/>
              </w:tabs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pPr>
            <w:r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r>
            <w:r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r>
            <w:r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r>
          </w:p>
        </w:tc>
        <w:tc>
          <w:tcPr>
            <w:shd w:val="clear" w:color="auto" w:fill="ffffff"/>
            <w:tcW w:w="5245" w:type="dxa"/>
            <w:textDirection w:val="lrTb"/>
            <w:noWrap/>
          </w:tcPr>
          <w:p>
            <w:pPr>
              <w:jc w:val="center"/>
              <w:spacing w:line="228" w:lineRule="auto"/>
              <w:shd w:val="clear" w:color="auto" w:fill="ffffff"/>
              <w:widowControl w:val="off"/>
              <w:rPr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 xml:space="preserve">Приложение № 1</w:t>
            </w:r>
            <w:r>
              <w:rPr>
                <w:sz w:val="26"/>
                <w:szCs w:val="26"/>
                <w:lang w:val="ru-RU" w:eastAsia="ru-RU"/>
              </w:rPr>
            </w:r>
            <w:r>
              <w:rPr>
                <w:sz w:val="26"/>
                <w:szCs w:val="26"/>
                <w:lang w:val="ru-RU" w:eastAsia="ru-RU"/>
              </w:rPr>
            </w:r>
          </w:p>
        </w:tc>
      </w:tr>
    </w:tbl>
    <w:p>
      <w:pPr>
        <w:ind w:firstLine="851"/>
        <w:jc w:val="right"/>
        <w:rPr>
          <w:rFonts w:eastAsiaTheme="minorHAnsi"/>
          <w:strike/>
          <w:sz w:val="16"/>
          <w:szCs w:val="16"/>
          <w:highlight w:val="yellow"/>
          <w:lang w:val="ru-RU"/>
        </w:rPr>
      </w:pPr>
      <w:r>
        <w:rPr>
          <w:rFonts w:eastAsiaTheme="minorHAnsi"/>
          <w:strike/>
          <w:sz w:val="16"/>
          <w:szCs w:val="16"/>
          <w:highlight w:val="yellow"/>
          <w:lang w:val="ru-RU"/>
        </w:rPr>
      </w:r>
      <w:r>
        <w:rPr>
          <w:rFonts w:eastAsiaTheme="minorHAnsi"/>
          <w:strike/>
          <w:sz w:val="16"/>
          <w:szCs w:val="16"/>
          <w:highlight w:val="yellow"/>
          <w:lang w:val="ru-RU"/>
        </w:rPr>
      </w:r>
      <w:r>
        <w:rPr>
          <w:rFonts w:eastAsiaTheme="minorHAnsi"/>
          <w:strike/>
          <w:sz w:val="16"/>
          <w:szCs w:val="16"/>
          <w:highlight w:val="yellow"/>
          <w:lang w:val="ru-RU"/>
        </w:rPr>
      </w:r>
    </w:p>
    <w:p>
      <w:pPr>
        <w:jc w:val="center"/>
        <w:keepLines/>
        <w:keepNext/>
        <w:spacing w:line="228" w:lineRule="auto"/>
        <w:rPr>
          <w:rFonts w:eastAsiaTheme="majorEastAsia"/>
          <w:b/>
          <w:sz w:val="22"/>
          <w:szCs w:val="22"/>
          <w:lang w:val="ru-RU"/>
        </w:rPr>
        <w:outlineLvl w:val="1"/>
      </w:pPr>
      <w:r>
        <w:rPr>
          <w:rFonts w:eastAsiaTheme="majorEastAsia"/>
          <w:b/>
          <w:sz w:val="22"/>
          <w:szCs w:val="22"/>
          <w:lang w:val="ru-RU"/>
        </w:rPr>
        <w:t xml:space="preserve">Паспорт</w:t>
      </w:r>
      <w:r>
        <w:rPr>
          <w:rFonts w:eastAsiaTheme="majorEastAsia"/>
          <w:b/>
          <w:sz w:val="22"/>
          <w:szCs w:val="22"/>
          <w:lang w:val="ru-RU"/>
        </w:rPr>
      </w:r>
      <w:r>
        <w:rPr>
          <w:rFonts w:eastAsiaTheme="majorEastAsia"/>
          <w:b/>
          <w:sz w:val="22"/>
          <w:szCs w:val="22"/>
          <w:lang w:val="ru-RU"/>
        </w:rPr>
      </w:r>
    </w:p>
    <w:p>
      <w:pPr>
        <w:jc w:val="center"/>
        <w:keepLines/>
        <w:keepNext/>
        <w:spacing w:line="228" w:lineRule="auto"/>
        <w:rPr>
          <w:rFonts w:eastAsiaTheme="majorEastAsia"/>
          <w:b/>
          <w:sz w:val="22"/>
          <w:szCs w:val="22"/>
          <w:lang w:val="ru-RU"/>
        </w:rPr>
        <w:outlineLvl w:val="1"/>
      </w:pPr>
      <w:r>
        <w:rPr>
          <w:rFonts w:eastAsiaTheme="majorEastAsia"/>
          <w:b/>
          <w:sz w:val="22"/>
          <w:szCs w:val="22"/>
          <w:lang w:val="ru-RU"/>
        </w:rPr>
        <w:t xml:space="preserve">муниципальной программы Красногвардейского района</w:t>
      </w:r>
      <w:r>
        <w:rPr>
          <w:rFonts w:eastAsiaTheme="majorEastAsia"/>
          <w:b/>
          <w:sz w:val="22"/>
          <w:szCs w:val="22"/>
          <w:lang w:val="ru-RU"/>
        </w:rPr>
      </w:r>
      <w:r>
        <w:rPr>
          <w:rFonts w:eastAsiaTheme="majorEastAsia"/>
          <w:b/>
          <w:sz w:val="22"/>
          <w:szCs w:val="22"/>
          <w:lang w:val="ru-RU"/>
        </w:rPr>
      </w:r>
    </w:p>
    <w:p>
      <w:pPr>
        <w:jc w:val="center"/>
        <w:keepLines/>
        <w:keepNext/>
        <w:spacing w:line="228" w:lineRule="auto"/>
        <w:rPr>
          <w:rFonts w:eastAsiaTheme="majorEastAsia"/>
          <w:b/>
          <w:sz w:val="22"/>
          <w:szCs w:val="22"/>
          <w:lang w:val="ru-RU"/>
        </w:rPr>
        <w:outlineLvl w:val="1"/>
      </w:pPr>
      <w:r>
        <w:rPr>
          <w:rFonts w:eastAsiaTheme="majorEastAsia"/>
          <w:b/>
          <w:sz w:val="22"/>
          <w:szCs w:val="22"/>
          <w:lang w:val="ru-RU"/>
        </w:rPr>
        <w:t xml:space="preserve">«Развитие физической культуры и спорта в Красногвардейском районе»</w:t>
      </w:r>
      <w:r>
        <w:rPr>
          <w:rFonts w:eastAsiaTheme="majorEastAsia"/>
          <w:b/>
          <w:sz w:val="22"/>
          <w:szCs w:val="22"/>
          <w:lang w:val="ru-RU"/>
        </w:rPr>
      </w:r>
      <w:r>
        <w:rPr>
          <w:rFonts w:eastAsiaTheme="majorEastAsia"/>
          <w:b/>
          <w:sz w:val="22"/>
          <w:szCs w:val="22"/>
          <w:lang w:val="ru-RU"/>
        </w:rPr>
      </w:r>
    </w:p>
    <w:p>
      <w:pPr>
        <w:rPr>
          <w:rFonts w:asciiTheme="minorHAnsi" w:hAnsiTheme="minorHAnsi" w:eastAsiaTheme="minorHAnsi" w:cstheme="minorBidi"/>
          <w:sz w:val="16"/>
          <w:szCs w:val="16"/>
          <w:lang w:val="ru-RU"/>
        </w:rPr>
      </w:pPr>
      <w:r>
        <w:rPr>
          <w:rFonts w:asciiTheme="minorHAnsi" w:hAnsiTheme="minorHAnsi" w:eastAsiaTheme="minorHAnsi" w:cstheme="minorBidi"/>
          <w:sz w:val="16"/>
          <w:szCs w:val="16"/>
          <w:lang w:val="ru-RU"/>
        </w:rPr>
      </w:r>
      <w:r>
        <w:rPr>
          <w:rFonts w:asciiTheme="minorHAnsi" w:hAnsiTheme="minorHAnsi" w:eastAsiaTheme="minorHAnsi" w:cstheme="minorBidi"/>
          <w:sz w:val="16"/>
          <w:szCs w:val="16"/>
          <w:lang w:val="ru-RU"/>
        </w:rPr>
      </w:r>
      <w:r>
        <w:rPr>
          <w:rFonts w:asciiTheme="minorHAnsi" w:hAnsiTheme="minorHAnsi" w:eastAsiaTheme="minorHAnsi" w:cstheme="minorBidi"/>
          <w:sz w:val="16"/>
          <w:szCs w:val="16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1. Основные положения</w:t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rPr>
          <w:rFonts w:asciiTheme="minorHAnsi" w:hAnsiTheme="minorHAnsi" w:eastAsiaTheme="minorHAnsi" w:cstheme="minorBidi"/>
          <w:sz w:val="16"/>
          <w:szCs w:val="16"/>
          <w:lang w:val="ru-RU"/>
        </w:rPr>
      </w:pPr>
      <w:r>
        <w:rPr>
          <w:rFonts w:asciiTheme="minorHAnsi" w:hAnsiTheme="minorHAnsi" w:eastAsiaTheme="minorHAnsi" w:cstheme="minorBidi"/>
          <w:sz w:val="16"/>
          <w:szCs w:val="16"/>
          <w:lang w:val="ru-RU"/>
        </w:rPr>
      </w:r>
      <w:r>
        <w:rPr>
          <w:rFonts w:asciiTheme="minorHAnsi" w:hAnsiTheme="minorHAnsi" w:eastAsiaTheme="minorHAnsi" w:cstheme="minorBidi"/>
          <w:sz w:val="16"/>
          <w:szCs w:val="16"/>
          <w:lang w:val="ru-RU"/>
        </w:rPr>
      </w:r>
      <w:r>
        <w:rPr>
          <w:rFonts w:asciiTheme="minorHAnsi" w:hAnsiTheme="minorHAnsi" w:eastAsiaTheme="minorHAnsi" w:cstheme="minorBidi"/>
          <w:sz w:val="16"/>
          <w:szCs w:val="16"/>
          <w:lang w:val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7"/>
        <w:gridCol w:w="7460"/>
        <w:gridCol w:w="3265"/>
      </w:tblGrid>
      <w:tr>
        <w:tblPrEx/>
        <w:trPr>
          <w:trHeight w:val="3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Куратор муниципальной программы 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5" w:type="pct"/>
            <w:vAlign w:val="center"/>
            <w:textDirection w:val="lrTb"/>
            <w:noWrap/>
          </w:tcPr>
          <w:p>
            <w:pPr>
              <w:pStyle w:val="1047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Марковской Александр Николаевич - заместитель главы администрации района по социальной политике администрации района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Ответственный исполнитель муниципальной программы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5" w:type="pct"/>
            <w:vAlign w:val="center"/>
            <w:textDirection w:val="lrTb"/>
            <w:noWrap/>
          </w:tcPr>
          <w:p>
            <w:pPr>
              <w:jc w:val="both"/>
              <w:keepLines/>
              <w:spacing w:line="228" w:lineRule="auto"/>
              <w:widowControl w:val="off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Останков Дмитрий Александрович – начальник МКУ «Управление физической культуры и спорта администрации Красногвардейского района»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Период реализации муниципальной программы 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2025-2030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4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8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Цельмуниципальной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программы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1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i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Цель 1 Увеличение к 2030 году  до 70 процентов доли населения Красногвардейского района , систематически занимающихся физической культурой и спортом</w:t>
            </w:r>
            <w:r>
              <w:rPr>
                <w:rFonts w:eastAsiaTheme="minorHAnsi"/>
                <w:i/>
                <w:sz w:val="20"/>
                <w:szCs w:val="20"/>
                <w:lang w:val="ru-RU"/>
              </w:rPr>
            </w:r>
            <w:r>
              <w:rPr>
                <w:rFonts w:eastAsiaTheme="minorHAnsi"/>
                <w:i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Направления (подпрограммы)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муниципальной программы 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Направление 1 «Развитие физической культуры и спорта в Красногвардейском районе».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Направление 2 « Обеспечение функций в сфере управления физической культуры и спорта». 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85" w:type="pct"/>
            <w:vAlign w:val="center"/>
            <w:vMerge w:val="restart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Объемы финансового обеспечения за весь период реализации, в том числе по источникам финансирования: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1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Источник финансового обеспечения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pct"/>
            <w:vAlign w:val="center"/>
            <w:textDirection w:val="lrTb"/>
            <w:noWrap/>
          </w:tcPr>
          <w:p>
            <w:pPr>
              <w:jc w:val="center"/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Объем финансового обеспечения, тыс. рублей.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85" w:type="pct"/>
            <w:vAlign w:val="center"/>
            <w:vMerge w:val="continue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1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Всего по муниципальной программе, в том числе: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pct"/>
            <w:vAlign w:val="center"/>
            <w:textDirection w:val="lrTb"/>
            <w:noWrap/>
          </w:tcPr>
          <w:p>
            <w:pPr>
              <w:jc w:val="center"/>
              <w:spacing w:line="228" w:lineRule="auto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227599,95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85" w:type="pct"/>
            <w:vAlign w:val="center"/>
            <w:vMerge w:val="continue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1" w:type="pct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межбюджетные трансферты из федерального бюджета (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)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pct"/>
            <w:vAlign w:val="center"/>
            <w:textDirection w:val="lrTb"/>
            <w:noWrap/>
          </w:tcPr>
          <w:p>
            <w:pPr>
              <w:jc w:val="center"/>
              <w:spacing w:line="228" w:lineRule="auto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85" w:type="pct"/>
            <w:vAlign w:val="center"/>
            <w:vMerge w:val="continue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1" w:type="pct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межбюджетные трансферты из областного бюджета (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)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pct"/>
            <w:vAlign w:val="center"/>
            <w:textDirection w:val="lrTb"/>
            <w:noWrap/>
          </w:tcPr>
          <w:p>
            <w:pPr>
              <w:jc w:val="center"/>
              <w:spacing w:line="228" w:lineRule="auto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85" w:type="pct"/>
            <w:vAlign w:val="center"/>
            <w:vMerge w:val="continue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1" w:type="pct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средства районного бюджета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pct"/>
            <w:vAlign w:val="center"/>
            <w:textDirection w:val="lrTb"/>
            <w:noWrap/>
          </w:tcPr>
          <w:p>
            <w:pPr>
              <w:jc w:val="center"/>
              <w:spacing w:line="228" w:lineRule="auto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214159,95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3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5" w:type="pct"/>
            <w:vAlign w:val="center"/>
            <w:vMerge w:val="continue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1" w:type="pct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trike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внебюджетные источники</w:t>
            </w:r>
            <w:r>
              <w:rPr>
                <w:rFonts w:eastAsia="Arial Unicode MS"/>
                <w:strike/>
                <w:sz w:val="20"/>
                <w:szCs w:val="20"/>
                <w:lang w:val="ru-RU"/>
              </w:rPr>
            </w:r>
            <w:r>
              <w:rPr>
                <w:rFonts w:eastAsia="Arial Unicode MS"/>
                <w:strike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pct"/>
            <w:vAlign w:val="center"/>
            <w:textDirection w:val="lrTb"/>
            <w:noWrap/>
          </w:tcPr>
          <w:p>
            <w:pPr>
              <w:jc w:val="center"/>
              <w:spacing w:line="228" w:lineRule="auto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13440,00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Связь с национальными целями развития Российской Федерации / государственными программами Белгородской области 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1. «Сохранение населения, здоровье и благополучие людей»/ Показатель «Повышение ожидаемой продолжительности жизни до 78 лет»/Показатель «Увеличение доли граждан, систематически занимающихся физической культурой и спортом, до 70 процентов»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«Государственная программа Российской Федерации  «Развитие физической культуры и спорта» (постановление Правительства Российской Федерации от 30 сентября 2021 года № 1661)».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2. «Создание современной доступной инфраструктуры, открытой сервисной и спортивно-событийной политик для вовлечения в занятия физической культурой и спортом всех жителей Красногвардейского района».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Приоритет «Развитие человеческого капитала, качества среды»/Показатель «Увеличение доли граждан, систематически занимающихся физической культурой и спортом»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«Государственная программа 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Белгородскойобласти«Развитие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физической культуры и спорта Белгородской области» (постановление Правительства Белгородской области от 25 декабря 2023 года № 788-пп)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Связь с целями развития Красногвардейского района / стратегическими приоритетами Красногвардейского района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i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Увеличение к 2030 году до 70 процентов доли населения Красногвардейского района, систематически занимающихся физической культурой и спортом</w:t>
            </w:r>
            <w:r>
              <w:rPr>
                <w:rFonts w:eastAsia="Arial Unicode MS"/>
                <w:i/>
                <w:sz w:val="20"/>
                <w:szCs w:val="20"/>
                <w:lang w:val="ru-RU"/>
              </w:rPr>
            </w:r>
            <w:r>
              <w:rPr>
                <w:rFonts w:eastAsia="Arial Unicode MS"/>
                <w:i/>
                <w:sz w:val="20"/>
                <w:szCs w:val="20"/>
                <w:lang w:val="ru-RU"/>
              </w:rPr>
            </w:r>
          </w:p>
        </w:tc>
      </w:tr>
    </w:tbl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contextualSpacing/>
        <w:jc w:val="center"/>
        <w:rPr>
          <w:rFonts w:asciiTheme="minorHAnsi" w:hAnsiTheme="minorHAnsi" w:eastAsiaTheme="minorHAnsi" w:cstheme="minorBid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2. Показатели муниципальной программы </w:t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</w:p>
    <w:tbl>
      <w:tblPr>
        <w:tblpPr w:horzAnchor="text" w:tblpXSpec="left" w:vertAnchor="text" w:tblpY="1" w:leftFromText="180" w:topFromText="0" w:rightFromText="180" w:bottomFromText="0"/>
        <w:tblW w:w="501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1535"/>
        <w:gridCol w:w="784"/>
        <w:gridCol w:w="1043"/>
        <w:gridCol w:w="1030"/>
        <w:gridCol w:w="1103"/>
        <w:gridCol w:w="553"/>
        <w:gridCol w:w="525"/>
        <w:gridCol w:w="525"/>
        <w:gridCol w:w="528"/>
        <w:gridCol w:w="525"/>
        <w:gridCol w:w="525"/>
        <w:gridCol w:w="679"/>
        <w:gridCol w:w="995"/>
        <w:gridCol w:w="1425"/>
        <w:gridCol w:w="1842"/>
        <w:gridCol w:w="1852"/>
      </w:tblGrid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№ п/п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6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Наименование показателя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48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Уровень показателя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30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Признак возрастания/ убывания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Единица измерения        (по ОКЕИ)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Базовое значение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pc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Значения показателя по годам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Документ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51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Ответственный </w:t>
            </w:r>
            <w:r>
              <w:rPr>
                <w:spacing w:val="-2"/>
                <w:sz w:val="16"/>
                <w:szCs w:val="16"/>
                <w:lang w:val="ru-RU"/>
              </w:rPr>
              <w:br/>
              <w:t xml:space="preserve">за достижение показателя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Связь с показателями национальных целей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Связь с показателями государственных программ Российской Федерации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" w:type="pct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6" w:type="pct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" w:type="pct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" w:type="pct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" w:type="pct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значение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год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2025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2026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2027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2028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2029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2030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vAlign w:val="center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1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2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" w:type="pct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3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" w:type="pct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4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5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6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7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8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9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10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11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12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13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14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15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1.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60,3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15" w:type="pct"/>
            <w:vMerge w:val="restar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Постановление Правительства Белгородской области от 25.12.2023г. № 788-пп «Об утверждении государственной программы Белгородской области «Развитие физической культуры и спорта Белгородской области»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граждан, систематически занимающихся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в возрасте 3-29 лет систематически занимающихся физической культурой и спортом в общей численности граждан данной возрастной категории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15" w:type="pct"/>
            <w:vAlign w:val="center"/>
            <w:vMerge w:val="restar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Постановление Правительства Белгородской области от 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25.12.2023г. № 788-пп «Об утверждении государственной программы Белгородской области «Развитие физической культуры и спорта Белгородской области»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ского района»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в возрасте от 30 до 54 лет включительно (женщины) и до 59 лет (мужчины), систематически занимающихся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физической культурой и спортом в общей численности граждан данной возрастной категории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34,1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37,3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39,6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43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315" w:type="pct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в возрасте от 55 лет (женщины) и от60 лет (мужчины) до 79 лет включительно, систематически занимающихся физической культурой и спортом в общей численности граждан данной возрастной категории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Красногвардейского района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спортивными сооружениями исходя из единовременно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91,9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92,7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граждан спортивными  сооружениями исходя из единовременной пропускной способности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29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15" w:type="pct"/>
            <w:vAlign w:val="center"/>
            <w:vMerge w:val="restar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Постановление Правительства Белгородской области от 25.12.2023г. № 788-пп «Об утверждении государственной программы Белгородской области «Развитие физической культуры и спорта Белгородской области»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области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66,4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67,7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68,2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граждан, систематически занимающихся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51,7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52,4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Постановление Правительства Белгородс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кой области от 25.12.2023г. № 788-пп «Об утверждении государственной программы Белгородской области «Развитие физической культуры и спорта Белгородской области»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администрации Красногвардейского района»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граждан, систематически занимающихся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» Лиман»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ВДЛ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Единиц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граждан, систематически занимающихся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спортивно-оздоровительного характера, оказываемых МАУ «ФОК «Старт»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г.Бирюча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.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Бирюча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граждан, систематически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занимающихся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МАУ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МАУ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граждан, систематически занимающихся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10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на территории района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ВДЛ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Единиц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300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320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 МАУ «ФОК «Старт» г. Бирюча,  МАУ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,   МБУ ДО «Спортивная школа»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граждан, систематически занимающихся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</w:tbl>
    <w:p>
      <w:pPr>
        <w:jc w:val="center"/>
        <w:spacing w:after="160" w:line="259" w:lineRule="auto"/>
        <w:rPr>
          <w:rFonts w:eastAsiaTheme="minorHAnsi" w:cstheme="minorBidi"/>
          <w:sz w:val="22"/>
          <w:szCs w:val="22"/>
          <w:lang w:val="ru-RU"/>
        </w:rPr>
      </w:pPr>
      <w:r>
        <w:rPr>
          <w:rFonts w:eastAsiaTheme="minorHAnsi" w:cstheme="minorBidi"/>
          <w:sz w:val="22"/>
          <w:szCs w:val="22"/>
          <w:lang w:val="ru-RU"/>
        </w:rPr>
      </w:r>
      <w:r>
        <w:rPr>
          <w:rFonts w:eastAsiaTheme="minorHAnsi" w:cstheme="minorBidi"/>
          <w:sz w:val="22"/>
          <w:szCs w:val="22"/>
          <w:lang w:val="ru-RU"/>
        </w:rPr>
      </w:r>
      <w:r>
        <w:rPr>
          <w:rFonts w:eastAsiaTheme="minorHAnsi" w:cstheme="minorBidi"/>
          <w:sz w:val="22"/>
          <w:szCs w:val="22"/>
          <w:lang w:val="ru-RU"/>
        </w:rPr>
      </w:r>
    </w:p>
    <w:p>
      <w:pPr>
        <w:jc w:val="center"/>
        <w:spacing w:after="160" w:line="259" w:lineRule="auto"/>
        <w:rPr>
          <w:rFonts w:eastAsiaTheme="minorHAnsi"/>
          <w:sz w:val="22"/>
          <w:szCs w:val="22"/>
          <w:lang w:val="ru-RU"/>
        </w:rPr>
      </w:pPr>
      <w:r>
        <w:rPr>
          <w:rFonts w:eastAsiaTheme="minorHAnsi" w:cstheme="minorBidi"/>
          <w:sz w:val="22"/>
          <w:szCs w:val="22"/>
          <w:lang w:val="ru-RU"/>
        </w:rPr>
        <w:t xml:space="preserve">3. </w:t>
      </w:r>
      <w:r>
        <w:rPr>
          <w:rFonts w:eastAsiaTheme="minorHAnsi"/>
          <w:sz w:val="22"/>
          <w:szCs w:val="22"/>
          <w:lang w:val="ru-RU"/>
        </w:rPr>
        <w:t xml:space="preserve">Помесячный план достижения показателей муниципальной программы в 2025 году</w:t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jc w:val="center"/>
        <w:spacing w:line="259" w:lineRule="auto"/>
        <w:rPr>
          <w:rFonts w:eastAsiaTheme="minorHAnsi" w:cstheme="minorBidi"/>
          <w:sz w:val="22"/>
          <w:szCs w:val="22"/>
          <w:lang w:val="ru-RU"/>
        </w:rPr>
      </w:pPr>
      <w:r>
        <w:rPr>
          <w:rFonts w:eastAsiaTheme="minorHAnsi" w:cstheme="minorBidi"/>
          <w:sz w:val="22"/>
          <w:szCs w:val="22"/>
          <w:lang w:val="ru-RU"/>
        </w:rPr>
      </w:r>
      <w:r>
        <w:rPr>
          <w:rFonts w:eastAsiaTheme="minorHAnsi" w:cstheme="minorBidi"/>
          <w:sz w:val="22"/>
          <w:szCs w:val="22"/>
          <w:lang w:val="ru-RU"/>
        </w:rPr>
      </w:r>
      <w:r>
        <w:rPr>
          <w:rFonts w:eastAsiaTheme="minorHAnsi" w:cstheme="minorBidi"/>
          <w:sz w:val="22"/>
          <w:szCs w:val="22"/>
          <w:lang w:val="ru-RU"/>
        </w:rPr>
      </w:r>
    </w:p>
    <w:tbl>
      <w:tblPr>
        <w:tblW w:w="498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13"/>
        <w:gridCol w:w="9921"/>
        <w:gridCol w:w="996"/>
        <w:gridCol w:w="988"/>
        <w:gridCol w:w="211"/>
        <w:gridCol w:w="222"/>
        <w:gridCol w:w="270"/>
        <w:gridCol w:w="212"/>
        <w:gridCol w:w="199"/>
        <w:gridCol w:w="295"/>
        <w:gridCol w:w="271"/>
        <w:gridCol w:w="195"/>
        <w:gridCol w:w="214"/>
        <w:gridCol w:w="206"/>
        <w:gridCol w:w="214"/>
        <w:gridCol w:w="1091"/>
      </w:tblGrid>
      <w:tr>
        <w:tblPrEx/>
        <w:trPr>
          <w:trHeight w:val="283"/>
          <w:tblHeader/>
        </w:trPr>
        <w:tc>
          <w:tcPr>
            <w:tcW w:w="194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№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п/п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Наименование показателя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Уровень показателя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Единица измерения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(по ОКЕИ)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11"/>
            <w:tcW w:w="207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Плановые значения по кварталам/месяцам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На конец </w:t>
            </w:r>
            <w:r>
              <w:rPr>
                <w:rFonts w:eastAsiaTheme="minorHAnsi"/>
                <w:b/>
                <w:i/>
                <w:sz w:val="20"/>
                <w:szCs w:val="20"/>
                <w:lang w:val="ru-RU"/>
              </w:rPr>
              <w:t xml:space="preserve">(2025)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года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  <w:tblHeader/>
        </w:trPr>
        <w:tc>
          <w:tcPr>
            <w:tcW w:w="194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янв.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фев.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март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апр.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май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июнь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июль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авг.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сен.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окт.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ноя.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15"/>
            <w:tcW w:w="4806" w:type="pct"/>
            <w:vAlign w:val="center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Цель муниципальной программы «Увеличение к 2030 году 70 процентов доли населения Красногвардейского района, систематически занимающихся физической культурой и спортом»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1.1.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vAlign w:val="center"/>
            <w:textDirection w:val="lrTb"/>
            <w:noWrap/>
          </w:tcPr>
          <w:p>
            <w:pPr>
              <w:ind w:left="259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61,3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61,6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98,8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57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28,3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1.5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 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91,2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91,2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91,2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91,9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1.7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65,9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1.8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51,5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51,8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52,1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52,4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1.9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</w:t>
            </w:r>
            <w:r>
              <w:rPr>
                <w:bCs/>
                <w:sz w:val="20"/>
                <w:szCs w:val="20"/>
                <w:lang w:val="ru-RU"/>
              </w:rPr>
              <w:t xml:space="preserve">спорта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«Старт»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г.Бирюча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, МАУ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«ВДЛ»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76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1.10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vAlign w:val="center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на территории района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«ВДЛ»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250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</w:tbl>
    <w:p>
      <w:pPr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4. Структура муниципальной программы </w:t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tbl>
      <w:tblPr>
        <w:tblStyle w:val="1037"/>
        <w:tblpPr w:horzAnchor="text" w:tblpXSpec="left" w:vertAnchor="text" w:tblpY="1" w:leftFromText="180" w:topFromText="0" w:rightFromText="180" w:bottomFromText="0"/>
        <w:tblW w:w="496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"/>
        <w:gridCol w:w="2889"/>
        <w:gridCol w:w="8244"/>
        <w:gridCol w:w="4470"/>
      </w:tblGrid>
      <w:tr>
        <w:tblPrEx/>
        <w:trPr>
          <w:trHeight w:val="20"/>
          <w:tblHeader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п/п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Задачиструктурногоэлемента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pct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606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Связь</w:t>
            </w:r>
            <w:r>
              <w:rPr>
                <w:sz w:val="20"/>
                <w:szCs w:val="20"/>
                <w:lang w:eastAsia="ru-RU"/>
              </w:rPr>
              <w:t xml:space="preserve"> с </w:t>
            </w:r>
            <w:r>
              <w:rPr>
                <w:sz w:val="20"/>
                <w:szCs w:val="20"/>
                <w:lang w:eastAsia="ru-RU"/>
              </w:rPr>
              <w:t xml:space="preserve">показателями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606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4529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1. Направление (подпрограмма) «</w:t>
            </w:r>
            <w:r>
              <w:rPr>
                <w:b/>
                <w:sz w:val="20"/>
                <w:szCs w:val="20"/>
                <w:lang w:val="ru-RU"/>
              </w:rPr>
              <w:t xml:space="preserve">Развитие физической культуры и спорта в Красногвардейском районе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»</w:t>
            </w:r>
            <w:r>
              <w:rPr>
                <w:b/>
                <w:sz w:val="20"/>
                <w:szCs w:val="20"/>
                <w:lang w:val="ru-RU" w:eastAsia="ru-RU"/>
              </w:rPr>
            </w:r>
            <w:r>
              <w:rPr>
                <w:b/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3"/>
            <w:tcW w:w="4529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Комплекс процессных мероприятий «Проведение физкультурно-массовых и спортивных мероприятий»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ind w:firstLine="0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Ответственный за реализацию: 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tcW w:w="2635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Срокреализации</w:t>
            </w:r>
            <w:r>
              <w:rPr>
                <w:sz w:val="20"/>
                <w:szCs w:val="20"/>
              </w:rPr>
              <w:t xml:space="preserve">: 2025-2030 </w:t>
            </w:r>
            <w:r>
              <w:rPr>
                <w:sz w:val="20"/>
                <w:szCs w:val="20"/>
              </w:rPr>
              <w:t xml:space="preserve">годы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2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1.1</w:t>
            </w:r>
            <w:r>
              <w:rPr>
                <w:sz w:val="20"/>
                <w:szCs w:val="20"/>
                <w:lang w:val="ru-RU" w:eastAsia="ru-RU"/>
              </w:rPr>
              <w:t xml:space="preserve">.1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 1. Обеспечение деятельности (оказание услуг) муниципальных учреждений (организаций)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029" w:type="pct"/>
            <w:textDirection w:val="lrTb"/>
            <w:noWrap/>
          </w:tcPr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«Старт»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г.Бирюча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, МАУ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организация доступа на спортивные объекты, оказание физкультурно-оздоровительных услуг для всех  категорий граждан, проведение физкультурно-массовых и спортивных мероприятий, организация активного досуга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firstLine="0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МБУ ДО «Спортивная школа Красногвардейского района» проведение мероприятий физкультурно-массовой и спортивной направленности ориентирование на особенности развития детей и подростков,  а также проведение и  принятие участие в спортивных мероприятиях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606" w:type="pct"/>
            <w:vAlign w:val="center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Уровень обеспеченности населения спортивными  сооружениями исходя из единовременной пропускной способности объектов спорта.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лиц с ограниченными возможностями здоровья и инвалидов,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систематически занимающихся физической культурой и спортом в общей численности указанной категории   населения округа.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трудоспособного возраста, систематически занимающегося физической культурой и спортом;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z w:val="20"/>
                <w:szCs w:val="20"/>
                <w:lang w:val="ru-RU"/>
              </w:rPr>
              <w:t xml:space="preserve">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6209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1.</w:t>
            </w:r>
            <w:r>
              <w:rPr>
                <w:sz w:val="20"/>
                <w:szCs w:val="20"/>
                <w:lang w:val="ru-RU" w:eastAsia="ru-RU"/>
              </w:rPr>
              <w:t xml:space="preserve">1.</w:t>
            </w:r>
            <w:r>
              <w:rPr>
                <w:sz w:val="20"/>
                <w:szCs w:val="20"/>
                <w:lang w:eastAsia="ru-RU"/>
              </w:rPr>
              <w:t xml:space="preserve">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Задача2. Мероприятия по развитию физической культуры и массового спорта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029" w:type="pct"/>
            <w:textDirection w:val="lrTb"/>
            <w:noWrap/>
          </w:tcPr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«Старт»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г.Бирюча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, МАУ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организация доступа на спортивные объекты, оказание физкультурно-оздоровительных услуг для всех  категорий граждан, проведение физкультурно-массовых и спортивных мероприятий, организация активного досуга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МБУ ДО «Спортивная школа Красногвардейского района» проведение мероприятий физкультурно-массовой и спортивной направленности ориентирование на особенности развития детей и подростков,  а также проведение и  принятие участие в спортивных мероприятиях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  <w:p>
            <w:pPr>
              <w:ind w:firstLine="0"/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606" w:type="pct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Уровень обеспеченности населения спортивными  сооружениями исходя из единовременной пропускной способности объектов спорта.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  населения округа.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трудоспособного возраста, систематически занимающегося физической культурой и спортом;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мероприятиях за пределами Красногвардейского района</w:t>
            </w:r>
            <w:r>
              <w:rPr>
                <w:sz w:val="20"/>
                <w:szCs w:val="20"/>
                <w:lang w:val="ru-RU"/>
              </w:rPr>
              <w:t xml:space="preserve">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4529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2. Направление (подпрограмма) «Обеспечение функций 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2.1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4529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Комплекс процессных мероприятий «Обеспечение функций у</w:t>
            </w:r>
            <w:r>
              <w:rPr>
                <w:sz w:val="20"/>
                <w:szCs w:val="20"/>
                <w:lang w:val="ru-RU" w:eastAsia="ru-RU"/>
              </w:rPr>
              <w:t xml:space="preserve">правления в сфере физической культуры и спорта»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Ответственный за реализацию: 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tcW w:w="2635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реализации</w:t>
            </w:r>
            <w:r>
              <w:rPr>
                <w:sz w:val="20"/>
                <w:szCs w:val="20"/>
              </w:rPr>
              <w:t xml:space="preserve">: 2025-2030 </w:t>
            </w:r>
            <w:r>
              <w:rPr>
                <w:sz w:val="20"/>
                <w:szCs w:val="20"/>
              </w:rPr>
              <w:t xml:space="preserve">годы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</w:t>
            </w:r>
            <w:r>
              <w:rPr>
                <w:sz w:val="20"/>
                <w:szCs w:val="20"/>
                <w:lang w:eastAsia="ru-RU"/>
              </w:rPr>
              <w:t xml:space="preserve">.1.1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Задача1. Обеспечение </w:t>
            </w:r>
            <w:r>
              <w:rPr>
                <w:sz w:val="20"/>
                <w:szCs w:val="20"/>
                <w:lang w:val="ru-RU"/>
              </w:rPr>
              <w:t xml:space="preserve">деятельности (оказание услуг) муниципальными учреждениями (организациями)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029" w:type="pct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МКУ «Управление физической культуры и спорта администрации </w:t>
            </w:r>
            <w:r>
              <w:rPr>
                <w:sz w:val="20"/>
                <w:szCs w:val="20"/>
                <w:lang w:val="ru-RU" w:eastAsia="ru-RU"/>
              </w:rPr>
              <w:t xml:space="preserve">Красногвардейского района» проведены мероп</w:t>
            </w:r>
            <w:r>
              <w:rPr>
                <w:sz w:val="20"/>
                <w:szCs w:val="20"/>
                <w:lang w:val="ru-RU" w:eastAsia="ru-RU"/>
              </w:rPr>
              <w:t xml:space="preserve">риятия физкультурно-массовой и спортивной направленности для популяризации и вовлечение в занятия  физической культурой и массовым спортом для  всех групп населения Красногвардейского района, жители района приняли участие в соревнованиях различного уровня.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606" w:type="pct"/>
            <w:vAlign w:val="center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Доля населения Красногвардейского </w:t>
            </w:r>
            <w:r>
              <w:rPr>
                <w:sz w:val="20"/>
                <w:szCs w:val="20"/>
                <w:lang w:val="ru-RU"/>
              </w:rPr>
              <w:t xml:space="preserve">района систематически занимающихся физической культурой и массовым спортом в общей численности населения городского округа в возрасте от 3 до 79 лет.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Уровень обеспеченности населения спортивными  сооружениями исходя из единовременной пропускной способности объектов спорта.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  населения округа.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трудоспособного возраста, систематически занимающегося физической культурой и спортом;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сельского населения,  систематически занимающегося физической культурой и спортом 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ежегодного достижения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показателей муниципальной программы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z w:val="20"/>
                <w:szCs w:val="20"/>
                <w:lang w:val="ru-RU"/>
              </w:rPr>
              <w:t xml:space="preserve">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4046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2.1.2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Задача2. Мероприятия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029" w:type="pct"/>
            <w:textDirection w:val="lrTb"/>
            <w:noWrap/>
          </w:tcPr>
          <w:p>
            <w:pPr>
              <w:ind w:firstLine="0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МКУ «Управление физической культуры и спорта администрации Красногвардейского района» проведены мероп</w:t>
            </w:r>
            <w:r>
              <w:rPr>
                <w:sz w:val="20"/>
                <w:szCs w:val="20"/>
                <w:lang w:val="ru-RU" w:eastAsia="ru-RU"/>
              </w:rPr>
              <w:t xml:space="preserve">риятия физкультурно-массовой и спортивной направленности для популяризации и вовлечение в занятия  физической культурой и массовым спортом для  всех групп населения Красногвардейского района, жители района приняли участие в соревнованиях различного уровня.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606" w:type="pct"/>
            <w:vAlign w:val="center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Уровень обеспеченности населения спортивными  сооружениями исходя из единовременной пропускной способности объектов спорта.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  населения округа.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трудоспособного возраста, систематически занимающегося физической культурой и спортом;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сельского населения, 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систематически занимающегося физической культурой и спортом 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ежегодного достижения показателей муниципальной программы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z w:val="20"/>
                <w:szCs w:val="20"/>
                <w:lang w:val="ru-RU"/>
              </w:rPr>
              <w:t xml:space="preserve">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</w:tbl>
    <w:p>
      <w:pPr>
        <w:spacing w:after="160" w:line="259" w:lineRule="auto"/>
        <w:rPr>
          <w:rFonts w:eastAsiaTheme="minorHAnsi"/>
          <w:b/>
          <w:sz w:val="20"/>
          <w:szCs w:val="20"/>
          <w:lang w:val="ru-RU"/>
        </w:rPr>
      </w:pPr>
      <w:r>
        <w:rPr>
          <w:rFonts w:eastAsiaTheme="minorHAnsi"/>
          <w:b/>
          <w:sz w:val="20"/>
          <w:szCs w:val="20"/>
          <w:lang w:val="ru-RU"/>
        </w:rPr>
        <w:br w:type="page" w:clear="all"/>
      </w:r>
      <w:r>
        <w:rPr>
          <w:rFonts w:eastAsiaTheme="minorHAnsi"/>
          <w:b/>
          <w:sz w:val="20"/>
          <w:szCs w:val="20"/>
          <w:lang w:val="ru-RU"/>
        </w:rPr>
      </w:r>
      <w:r>
        <w:rPr>
          <w:rFonts w:eastAsiaTheme="minorHAnsi"/>
          <w:b/>
          <w:sz w:val="20"/>
          <w:szCs w:val="20"/>
          <w:lang w:val="ru-RU"/>
        </w:rPr>
      </w:r>
    </w:p>
    <w:p>
      <w:pPr>
        <w:spacing w:after="160" w:line="259" w:lineRule="auto"/>
        <w:rPr>
          <w:rFonts w:eastAsiaTheme="minorHAnsi"/>
          <w:b/>
          <w:sz w:val="20"/>
          <w:szCs w:val="20"/>
          <w:lang w:val="ru-RU"/>
        </w:rPr>
      </w:pPr>
      <w:r>
        <w:rPr>
          <w:rFonts w:eastAsiaTheme="minorHAnsi"/>
          <w:b/>
          <w:sz w:val="20"/>
          <w:szCs w:val="20"/>
          <w:lang w:val="ru-RU"/>
        </w:rPr>
      </w:r>
      <w:r>
        <w:rPr>
          <w:rFonts w:eastAsiaTheme="minorHAnsi"/>
          <w:b/>
          <w:sz w:val="20"/>
          <w:szCs w:val="20"/>
          <w:lang w:val="ru-RU"/>
        </w:rPr>
      </w:r>
      <w:r>
        <w:rPr>
          <w:rFonts w:eastAsiaTheme="minorHAnsi"/>
          <w:b/>
          <w:sz w:val="20"/>
          <w:szCs w:val="20"/>
          <w:lang w:val="ru-RU"/>
        </w:rPr>
      </w:r>
    </w:p>
    <w:p>
      <w:pPr>
        <w:pStyle w:val="1029"/>
        <w:numPr>
          <w:ilvl w:val="0"/>
          <w:numId w:val="5"/>
        </w:numPr>
        <w:jc w:val="center"/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Финансовое обеспечение муниципальной программы</w:t>
      </w:r>
      <w:r>
        <w:rPr>
          <w:rFonts w:eastAsiaTheme="minorHAnsi"/>
        </w:rPr>
      </w:r>
      <w:r>
        <w:rPr>
          <w:rFonts w:eastAsiaTheme="minorHAnsi"/>
        </w:rPr>
      </w:r>
    </w:p>
    <w:tbl>
      <w:tblPr>
        <w:tblStyle w:val="1037"/>
        <w:tblW w:w="5000" w:type="pct"/>
        <w:tblInd w:w="-1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1"/>
        <w:gridCol w:w="2381"/>
        <w:gridCol w:w="1478"/>
        <w:gridCol w:w="1405"/>
        <w:gridCol w:w="1405"/>
        <w:gridCol w:w="1355"/>
        <w:gridCol w:w="1150"/>
        <w:gridCol w:w="1160"/>
        <w:gridCol w:w="1557"/>
      </w:tblGrid>
      <w:tr>
        <w:tblPrEx/>
        <w:trPr>
          <w:trHeight w:val="20"/>
          <w:tblHeader/>
        </w:trPr>
        <w:tc>
          <w:tcPr>
            <w:tcW w:w="389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Наименование муниципальной программы, структурного элемента, источник финансового обеспечения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Код бюджетной классификации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7"/>
            <w:tcW w:w="9558" w:type="dxa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Объем финансового обеспечения по годам, тыс. рублей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3891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2025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2026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2027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2028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2029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3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4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5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Муниципальная программа (всего), в том числе: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50447,95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35080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227599,95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jc w:val="both"/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48207,95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32840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214159,95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внебюджетныеисточники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13440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Комплексыпроцессныхмероприятий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05 4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50447,95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35080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227599,95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b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средстварайонногобюджета</w:t>
            </w:r>
            <w:r>
              <w:rPr>
                <w:b/>
                <w:spacing w:val="-2"/>
                <w:sz w:val="20"/>
                <w:szCs w:val="20"/>
              </w:rPr>
            </w:r>
            <w:r>
              <w:rPr>
                <w:b/>
                <w:spacing w:val="-2"/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48207,95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32840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214159,95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b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внебюджетныеисточники</w:t>
            </w:r>
            <w:r>
              <w:rPr>
                <w:b/>
                <w:spacing w:val="-2"/>
                <w:sz w:val="20"/>
                <w:szCs w:val="20"/>
              </w:rPr>
            </w:r>
            <w:r>
              <w:rPr>
                <w:b/>
                <w:spacing w:val="-2"/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13440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32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Комплекс процессных мероприятий 1.«Проведение физкультурно-массовых и спортивных мероприятий»</w:t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05401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44447,63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30133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195396,63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средстварайонногобюджета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42207,63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27893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181956,63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13440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1.1 .«Обеспечение деятельности (оказание услуг) муниципальных учреждений (организаций)» 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0540100590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40564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30133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191513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874 0703 0540100590 600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874 1102 0540100590 600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5226</w:t>
            </w:r>
            <w:r>
              <w:rPr>
                <w:sz w:val="20"/>
                <w:szCs w:val="20"/>
                <w:lang w:val="ru-RU"/>
              </w:rPr>
              <w:t xml:space="preserve">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36981,6</w:t>
            </w:r>
            <w:r>
              <w:rPr>
                <w:sz w:val="20"/>
                <w:szCs w:val="20"/>
                <w:lang w:val="ru-RU"/>
              </w:rPr>
              <w:t xml:space="preserve">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5323</w:t>
            </w:r>
            <w:r>
              <w:rPr>
                <w:sz w:val="20"/>
                <w:szCs w:val="20"/>
                <w:lang w:val="ru-RU"/>
              </w:rPr>
              <w:t xml:space="preserve">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</w:t>
            </w:r>
            <w:r>
              <w:rPr>
                <w:sz w:val="20"/>
                <w:szCs w:val="20"/>
                <w:lang w:val="ru-RU"/>
              </w:rPr>
              <w:t xml:space="preserve">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</w:t>
            </w:r>
            <w:r>
              <w:rPr>
                <w:sz w:val="20"/>
                <w:szCs w:val="20"/>
                <w:lang w:val="ru-RU"/>
              </w:rPr>
              <w:t xml:space="preserve">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</w:t>
            </w:r>
            <w:r>
              <w:rPr>
                <w:sz w:val="20"/>
                <w:szCs w:val="20"/>
                <w:lang w:val="ru-RU"/>
              </w:rPr>
              <w:t xml:space="preserve">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</w:t>
            </w:r>
            <w:r>
              <w:rPr>
                <w:sz w:val="20"/>
                <w:szCs w:val="20"/>
                <w:lang w:val="ru-RU"/>
              </w:rPr>
              <w:t xml:space="preserve">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</w:t>
            </w:r>
            <w:r>
              <w:rPr>
                <w:sz w:val="20"/>
                <w:szCs w:val="20"/>
                <w:lang w:val="ru-RU"/>
              </w:rPr>
              <w:t xml:space="preserve">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32125</w:t>
            </w:r>
            <w:r>
              <w:rPr>
                <w:sz w:val="20"/>
                <w:szCs w:val="20"/>
                <w:lang w:val="ru-RU"/>
              </w:rPr>
              <w:t xml:space="preserve">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149831,63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13440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ind w:left="360"/>
              <w:spacing w:line="233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1.2 «Мероприятия по развитию физической культуры и массового спорта» 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0540129990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0540129990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highlight w:val="cyan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Комплекс процессных мероприятий 2. «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 Обеспечение функций управления в сфере физической культуры и спорта </w:t>
            </w:r>
            <w:r>
              <w:rPr>
                <w:sz w:val="20"/>
                <w:szCs w:val="20"/>
                <w:highlight w:val="cyan"/>
                <w:lang w:val="ru-RU"/>
              </w:rPr>
            </w:r>
            <w:r>
              <w:rPr>
                <w:sz w:val="20"/>
                <w:szCs w:val="20"/>
                <w:highlight w:val="cyan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6000,32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4947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32203,32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6000,32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4947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32203,32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1.1 .«Обеспечение деятельности (оказание услуг) муниципальных учреждений (организаций)» 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0540200590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4973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4947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31176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874 1102 0540200590 100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874 1102 0540200590 200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874 1102 0540200590 800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4973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4947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31176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ind w:left="360"/>
              <w:spacing w:line="233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1.2 «Мероприятия» 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054022990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1027,32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1027,32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874 1102 054022990 100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874 1102 054022990 200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1027,32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1027,32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</w:tbl>
    <w:p>
      <w:pPr>
        <w:spacing w:after="160" w:line="259" w:lineRule="auto"/>
        <w:rPr>
          <w:rFonts w:asciiTheme="minorHAnsi" w:hAnsiTheme="minorHAnsi" w:eastAsiaTheme="minorHAnsi" w:cstheme="minorBidi"/>
          <w:sz w:val="22"/>
          <w:szCs w:val="22"/>
          <w:lang w:val="ru-RU"/>
        </w:rPr>
      </w:pP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</w:p>
    <w:p>
      <w:pPr>
        <w:spacing w:after="160" w:line="259" w:lineRule="auto"/>
        <w:rPr>
          <w:rFonts w:asciiTheme="minorHAnsi" w:hAnsiTheme="minorHAnsi" w:eastAsiaTheme="minorHAnsi" w:cstheme="minorBidi"/>
          <w:sz w:val="22"/>
          <w:szCs w:val="22"/>
          <w:lang w:val="ru-RU"/>
        </w:rPr>
      </w:pP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</w:p>
    <w:p>
      <w:pPr>
        <w:jc w:val="right"/>
        <w:spacing w:line="228" w:lineRule="auto"/>
        <w:shd w:val="clear" w:color="auto" w:fill="ffffff"/>
        <w:widowControl w:val="off"/>
        <w:rPr>
          <w:b/>
          <w:sz w:val="22"/>
          <w:szCs w:val="22"/>
          <w:lang w:val="ru-RU" w:eastAsia="ru-RU"/>
        </w:rPr>
      </w:pPr>
      <w:r>
        <w:rPr>
          <w:b/>
          <w:sz w:val="22"/>
          <w:szCs w:val="22"/>
          <w:lang w:val="ru-RU" w:eastAsia="ru-RU"/>
        </w:rPr>
        <w:t xml:space="preserve">Приложение № 2</w:t>
      </w: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</w:p>
    <w:p>
      <w:pPr>
        <w:rPr>
          <w:rFonts w:asciiTheme="minorHAnsi" w:hAnsiTheme="minorHAnsi" w:eastAsiaTheme="minorHAnsi" w:cstheme="minorBidi"/>
          <w:sz w:val="22"/>
          <w:szCs w:val="22"/>
          <w:lang w:val="ru-RU"/>
        </w:rPr>
      </w:pP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</w:p>
    <w:p>
      <w:pPr>
        <w:jc w:val="center"/>
        <w:keepLines/>
        <w:keepNext/>
        <w:rPr>
          <w:b/>
          <w:sz w:val="22"/>
          <w:szCs w:val="22"/>
          <w:lang w:val="ru-RU" w:eastAsia="ru-RU"/>
        </w:rPr>
        <w:outlineLvl w:val="2"/>
      </w:pPr>
      <w:r>
        <w:rPr>
          <w:b/>
          <w:sz w:val="22"/>
          <w:szCs w:val="22"/>
          <w:lang w:val="ru-RU" w:eastAsia="ru-RU"/>
        </w:rPr>
        <w:t xml:space="preserve">Паспорт комплекса процессных мероприятий «Проведение физкультурно-массовых и спортивных мероприятий»</w:t>
      </w: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</w:p>
    <w:p>
      <w:pPr>
        <w:jc w:val="center"/>
        <w:keepLines/>
        <w:keepNext/>
        <w:rPr>
          <w:b/>
          <w:sz w:val="22"/>
          <w:szCs w:val="22"/>
          <w:lang w:val="ru-RU" w:eastAsia="ru-RU"/>
        </w:rPr>
        <w:outlineLvl w:val="2"/>
      </w:pPr>
      <w:r>
        <w:rPr>
          <w:b/>
          <w:sz w:val="22"/>
          <w:szCs w:val="22"/>
          <w:lang w:val="ru-RU" w:eastAsia="ru-RU"/>
        </w:rPr>
        <w:t xml:space="preserve">(далее – комплекс процессных мероприятий 1)</w:t>
      </w: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</w:p>
    <w:p>
      <w:pPr>
        <w:jc w:val="center"/>
        <w:rPr>
          <w:rFonts w:eastAsiaTheme="minorHAnsi"/>
          <w:bCs/>
          <w:sz w:val="22"/>
          <w:szCs w:val="22"/>
          <w:lang w:val="ru-RU"/>
        </w:rPr>
      </w:pPr>
      <w:r>
        <w:rPr>
          <w:rFonts w:eastAsiaTheme="minorHAnsi"/>
          <w:bCs/>
          <w:sz w:val="22"/>
          <w:szCs w:val="22"/>
          <w:lang w:val="ru-RU"/>
        </w:rPr>
      </w:r>
      <w:r>
        <w:rPr>
          <w:rFonts w:eastAsiaTheme="minorHAnsi"/>
          <w:bCs/>
          <w:sz w:val="22"/>
          <w:szCs w:val="22"/>
          <w:lang w:val="ru-RU"/>
        </w:rPr>
      </w:r>
      <w:r>
        <w:rPr>
          <w:rFonts w:eastAsiaTheme="minorHAnsi"/>
          <w:bCs/>
          <w:sz w:val="22"/>
          <w:szCs w:val="22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1. Общие положения</w:t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rPr>
          <w:rFonts w:asciiTheme="minorHAnsi" w:hAnsiTheme="minorHAnsi" w:eastAsiaTheme="minorHAnsi" w:cstheme="minorBidi"/>
          <w:sz w:val="22"/>
          <w:szCs w:val="22"/>
          <w:lang w:val="ru-RU"/>
        </w:rPr>
      </w:pP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</w:p>
    <w:tbl>
      <w:tblPr>
        <w:tblStyle w:val="1037"/>
        <w:tblW w:w="478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10"/>
        <w:gridCol w:w="10852"/>
      </w:tblGrid>
      <w:tr>
        <w:tblPrEx/>
        <w:trPr>
          <w:jc w:val="center"/>
          <w:trHeight w:val="516"/>
        </w:trPr>
        <w:tc>
          <w:tcPr>
            <w:tcW w:w="2645" w:type="pct"/>
            <w:vAlign w:val="center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Ответственныйисполнитель</w:t>
            </w:r>
            <w:r>
              <w:rPr>
                <w:bCs/>
                <w:sz w:val="20"/>
              </w:rPr>
              <w:t xml:space="preserve"> (</w:t>
            </w:r>
            <w:r>
              <w:rPr>
                <w:bCs/>
                <w:sz w:val="20"/>
              </w:rPr>
              <w:t xml:space="preserve">подразделение</w:t>
            </w:r>
            <w:r>
              <w:rPr>
                <w:bCs/>
                <w:sz w:val="20"/>
              </w:rPr>
              <w:t xml:space="preserve">/</w:t>
            </w:r>
            <w:r>
              <w:rPr>
                <w:bCs/>
                <w:sz w:val="20"/>
              </w:rPr>
              <w:t xml:space="preserve">организация</w:t>
            </w:r>
            <w:r>
              <w:rPr>
                <w:bCs/>
                <w:sz w:val="20"/>
              </w:rPr>
              <w:t xml:space="preserve">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355" w:type="pct"/>
            <w:vAlign w:val="center"/>
            <w:textDirection w:val="lrTb"/>
            <w:noWrap/>
          </w:tcPr>
          <w:p>
            <w:pPr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bCs/>
                <w:sz w:val="20"/>
                <w:lang w:val="ru-RU"/>
              </w:rPr>
            </w:r>
            <w:r>
              <w:rPr>
                <w:bCs/>
                <w:sz w:val="20"/>
                <w:lang w:val="ru-RU"/>
              </w:rPr>
            </w:r>
          </w:p>
        </w:tc>
      </w:tr>
      <w:tr>
        <w:tblPrEx/>
        <w:trPr>
          <w:jc w:val="center"/>
          <w:trHeight w:val="210"/>
        </w:trPr>
        <w:tc>
          <w:tcPr>
            <w:tcW w:w="2645" w:type="pct"/>
            <w:vAlign w:val="center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</w:t>
            </w:r>
            <w:r>
              <w:rPr>
                <w:bCs/>
                <w:sz w:val="20"/>
              </w:rPr>
              <w:t xml:space="preserve"> с </w:t>
            </w:r>
            <w:r>
              <w:rPr>
                <w:bCs/>
                <w:sz w:val="20"/>
              </w:rPr>
              <w:t xml:space="preserve">муниципальнойпрограммой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355" w:type="pct"/>
            <w:vAlign w:val="center"/>
            <w:textDirection w:val="lrTb"/>
            <w:noWrap/>
          </w:tcPr>
          <w:p>
            <w:pPr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Муниципальная программа Красногвардейского района «Развитие физической культуры и спорта в Красногвардейском районе»</w:t>
            </w:r>
            <w:r>
              <w:rPr>
                <w:bCs/>
                <w:sz w:val="20"/>
                <w:lang w:val="ru-RU"/>
              </w:rPr>
            </w:r>
            <w:r>
              <w:rPr>
                <w:bCs/>
                <w:sz w:val="20"/>
                <w:lang w:val="ru-RU"/>
              </w:rPr>
            </w:r>
          </w:p>
        </w:tc>
      </w:tr>
    </w:tbl>
    <w:p>
      <w:pPr>
        <w:rPr>
          <w:rFonts w:eastAsiaTheme="minorHAnsi"/>
          <w:b/>
          <w:sz w:val="22"/>
          <w:szCs w:val="22"/>
          <w:lang w:val="ru-RU"/>
        </w:rPr>
      </w:pPr>
      <w:r>
        <w:rPr>
          <w:rFonts w:eastAsiaTheme="minorHAnsi"/>
          <w:b/>
          <w:sz w:val="22"/>
          <w:szCs w:val="22"/>
          <w:lang w:val="ru-RU"/>
        </w:rPr>
      </w:r>
      <w:r>
        <w:rPr>
          <w:rFonts w:eastAsiaTheme="minorHAnsi"/>
          <w:b/>
          <w:sz w:val="22"/>
          <w:szCs w:val="22"/>
          <w:lang w:val="ru-RU"/>
        </w:rPr>
      </w:r>
      <w:r>
        <w:rPr>
          <w:rFonts w:eastAsiaTheme="minorHAnsi"/>
          <w:b/>
          <w:sz w:val="22"/>
          <w:szCs w:val="22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2. Показатели комплекса процессных мероприятий 1</w:t>
      </w:r>
      <w:r>
        <w:rPr>
          <w:rFonts w:eastAsiaTheme="minorHAnsi"/>
          <w:sz w:val="22"/>
          <w:szCs w:val="22"/>
        </w:rPr>
      </w:r>
      <w:r>
        <w:rPr>
          <w:rFonts w:eastAsiaTheme="minorHAnsi"/>
          <w:sz w:val="22"/>
          <w:szCs w:val="22"/>
        </w:rPr>
      </w:r>
    </w:p>
    <w:p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</w:r>
      <w:r>
        <w:rPr>
          <w:rFonts w:eastAsiaTheme="minorHAnsi"/>
          <w:sz w:val="22"/>
          <w:szCs w:val="22"/>
        </w:rPr>
      </w:r>
      <w:r>
        <w:rPr>
          <w:rFonts w:eastAsiaTheme="minorHAnsi"/>
          <w:sz w:val="22"/>
          <w:szCs w:val="22"/>
        </w:rPr>
      </w:r>
    </w:p>
    <w:tbl>
      <w:tblPr>
        <w:tblW w:w="486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2865"/>
        <w:gridCol w:w="1278"/>
        <w:gridCol w:w="1341"/>
        <w:gridCol w:w="1082"/>
        <w:gridCol w:w="992"/>
        <w:gridCol w:w="568"/>
        <w:gridCol w:w="689"/>
        <w:gridCol w:w="689"/>
        <w:gridCol w:w="689"/>
        <w:gridCol w:w="708"/>
        <w:gridCol w:w="573"/>
        <w:gridCol w:w="567"/>
        <w:gridCol w:w="2592"/>
      </w:tblGrid>
      <w:tr>
        <w:tblPrEx/>
        <w:trPr>
          <w:tblHeader/>
        </w:trPr>
        <w:tc>
          <w:tcPr>
            <w:shd w:val="clear" w:color="auto" w:fill="ffffff"/>
            <w:tcW w:w="70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№ п/п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Наименование показателя/задачи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Признак возрастания/ убывания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Уровень показателя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Единица измерения (по ОКЕИ)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155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Базовое значение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6"/>
            <w:shd w:val="clear" w:color="auto" w:fill="ffffff"/>
            <w:tcW w:w="389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Значение показателей по годам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Ответственный за достижение показателя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fff"/>
            <w:tcW w:w="70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73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значение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год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2030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73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3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5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6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7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13"/>
            <w:shd w:val="clear" w:color="auto" w:fill="ffffff"/>
            <w:tcW w:w="1457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Задача1. </w:t>
            </w:r>
            <w:r>
              <w:rPr>
                <w:sz w:val="20"/>
                <w:szCs w:val="20"/>
                <w:lang w:val="ru-RU" w:eastAsia="ru-RU"/>
              </w:rPr>
              <w:t xml:space="preserve">«Обеспечение деятельности (оказание услуг) муниципальных учреждений (организаций)»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024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1.1.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лет;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60,3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951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jc w:val="center"/>
              <w:spacing w:after="160" w:line="259" w:lineRule="auto"/>
              <w:widowControl w:val="off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700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336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34,1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37,3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39,6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43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 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66,4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68,2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51,7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52,4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ВДЛ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Единиц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300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320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,</w:t>
            </w:r>
            <w:r>
              <w:rPr>
                <w:sz w:val="20"/>
                <w:szCs w:val="20"/>
                <w:lang w:val="ru-RU" w:eastAsia="ru-RU"/>
              </w:rPr>
              <w:t xml:space="preserve"> МБУ ДО «Спортивная школа Красногвардейского района»</w:t>
            </w:r>
            <w:r>
              <w:rPr>
                <w:bCs/>
                <w:sz w:val="20"/>
                <w:lang w:val="ru-RU"/>
              </w:rPr>
            </w:r>
            <w:r>
              <w:rPr>
                <w:bCs/>
                <w:sz w:val="20"/>
                <w:lang w:val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1.10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ВДЛ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Единиц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bCs/>
                <w:sz w:val="20"/>
                <w:lang w:val="ru-RU"/>
              </w:rPr>
            </w:r>
            <w:r>
              <w:rPr>
                <w:bCs/>
                <w:sz w:val="20"/>
                <w:lang w:val="ru-RU"/>
              </w:rPr>
            </w:r>
          </w:p>
        </w:tc>
      </w:tr>
      <w:tr>
        <w:tblPrEx/>
        <w:trPr>
          <w:trHeight w:val="341"/>
        </w:trPr>
        <w:tc>
          <w:tcPr>
            <w:gridSpan w:val="14"/>
            <w:shd w:val="clear" w:color="auto" w:fill="ffffff"/>
            <w:tcW w:w="1527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Задача 2. 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«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Мероприятия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»  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ffffff"/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2.1.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ВДЛ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Единиц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300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320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с.Ливенка,</w:t>
            </w:r>
            <w:r>
              <w:rPr>
                <w:sz w:val="20"/>
                <w:szCs w:val="20"/>
                <w:lang w:val="ru-RU" w:eastAsia="ru-RU"/>
              </w:rPr>
              <w:t xml:space="preserve">МБУ</w:t>
            </w:r>
            <w:r>
              <w:rPr>
                <w:sz w:val="20"/>
                <w:szCs w:val="20"/>
                <w:lang w:val="ru-RU" w:eastAsia="ru-RU"/>
              </w:rPr>
              <w:t xml:space="preserve"> ДО «Спортивная школа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2.2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ВДЛ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Единиц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</w:tbl>
    <w:p>
      <w:pPr>
        <w:contextualSpacing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3. Помесячный план достижения показателей комплекса процессных мероприятий  1в 2025 году</w:t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tbl>
      <w:tblPr>
        <w:tblW w:w="479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8"/>
        <w:gridCol w:w="3341"/>
        <w:gridCol w:w="807"/>
        <w:gridCol w:w="1448"/>
        <w:gridCol w:w="764"/>
        <w:gridCol w:w="657"/>
        <w:gridCol w:w="776"/>
        <w:gridCol w:w="763"/>
        <w:gridCol w:w="754"/>
        <w:gridCol w:w="720"/>
        <w:gridCol w:w="721"/>
        <w:gridCol w:w="612"/>
        <w:gridCol w:w="612"/>
        <w:gridCol w:w="612"/>
        <w:gridCol w:w="613"/>
        <w:gridCol w:w="1438"/>
      </w:tblGrid>
      <w:tr>
        <w:tblPrEx/>
        <w:trPr>
          <w:tblHeader/>
        </w:trPr>
        <w:tc>
          <w:tcPr>
            <w:shd w:val="clear" w:color="auto" w:fill="ffffff"/>
            <w:tcW w:w="62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№ п/п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Наименование показателя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Уровень показателя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Единица измерения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(по ОКЕИ)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11"/>
            <w:shd w:val="clear" w:color="auto" w:fill="ffffff"/>
            <w:tcW w:w="760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vertAlign w:val="superscript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Плановые значения по кварталам/месяцам</w:t>
            </w:r>
            <w:r>
              <w:rPr>
                <w:rFonts w:eastAsiaTheme="minorHAnsi"/>
                <w:sz w:val="20"/>
                <w:szCs w:val="20"/>
                <w:vertAlign w:val="superscript"/>
                <w:lang w:val="ru-RU"/>
              </w:rPr>
            </w:r>
            <w:r>
              <w:rPr>
                <w:rFonts w:eastAsiaTheme="minorHAnsi"/>
                <w:sz w:val="20"/>
                <w:szCs w:val="20"/>
                <w:vertAlign w:val="superscript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На конец 2025 года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fff"/>
            <w:tcW w:w="62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янв.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фев.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март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апр.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май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июнь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июль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авг.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сен.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окт.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ноя.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7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8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10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15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15"/>
            <w:shd w:val="clear" w:color="auto" w:fill="ffffff"/>
            <w:tcW w:w="146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Задача1.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« Обеспечение деятельности (оказание услуг) муниципальных учреждений (организаций)»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1.1.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лет;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61,3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61,6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98,8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57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28,3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1.5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 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91,9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1.7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65,9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1.8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51,5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51,8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52,1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52,4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1.9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ВЛД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250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1.10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ВДЛ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76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gridSpan w:val="16"/>
            <w:shd w:val="clear" w:color="auto" w:fill="ffffff"/>
            <w:tcW w:w="1526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Задача 2. 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«Мероприятия»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2.1.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ВЛД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250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2.2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ВДЛ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76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</w:tbl>
    <w:p>
      <w:pPr>
        <w:rPr>
          <w:rFonts w:eastAsiaTheme="minorHAnsi"/>
          <w:bCs/>
          <w:sz w:val="22"/>
          <w:szCs w:val="22"/>
          <w:lang w:val="ru-RU"/>
        </w:rPr>
      </w:pPr>
      <w:r>
        <w:rPr>
          <w:rFonts w:eastAsiaTheme="minorHAnsi"/>
          <w:bCs/>
          <w:sz w:val="22"/>
          <w:szCs w:val="22"/>
          <w:lang w:val="ru-RU"/>
        </w:rPr>
      </w:r>
      <w:r>
        <w:rPr>
          <w:rFonts w:eastAsiaTheme="minorHAnsi"/>
          <w:bCs/>
          <w:sz w:val="22"/>
          <w:szCs w:val="22"/>
          <w:lang w:val="ru-RU"/>
        </w:rPr>
      </w:r>
      <w:r>
        <w:rPr>
          <w:rFonts w:eastAsiaTheme="minorHAnsi"/>
          <w:bCs/>
          <w:sz w:val="22"/>
          <w:szCs w:val="22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4. Перечень мероприятий (результатов) комплекса процессных мероприятий 1.</w:t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tbl>
      <w:tblPr>
        <w:tblStyle w:val="1039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4961"/>
        <w:gridCol w:w="1453"/>
        <w:gridCol w:w="1168"/>
        <w:gridCol w:w="933"/>
        <w:gridCol w:w="844"/>
        <w:gridCol w:w="705"/>
        <w:gridCol w:w="709"/>
        <w:gridCol w:w="708"/>
        <w:gridCol w:w="643"/>
        <w:gridCol w:w="759"/>
        <w:gridCol w:w="825"/>
        <w:gridCol w:w="1175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9" w:type="dxa"/>
            <w:vAlign w:val="center"/>
            <w:vMerge w:val="restart"/>
            <w:textDirection w:val="lrTb"/>
            <w:noWrap/>
          </w:tcPr>
          <w:p>
            <w:pPr>
              <w:ind w:left="1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п/п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мероприятия</w:t>
            </w: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 xml:space="preserve">результата</w:t>
            </w:r>
            <w:r>
              <w:rPr>
                <w:bCs/>
                <w:sz w:val="20"/>
                <w:szCs w:val="20"/>
              </w:rPr>
              <w:t xml:space="preserve">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/>
          </w:tcPr>
          <w:p>
            <w:pPr>
              <w:ind w:left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Тип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мероприятия</w:t>
            </w: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 xml:space="preserve">результата</w:t>
            </w:r>
            <w:r>
              <w:rPr>
                <w:bCs/>
                <w:sz w:val="20"/>
                <w:szCs w:val="20"/>
              </w:rPr>
              <w:t xml:space="preserve">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Единица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измерения</w:t>
            </w: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 xml:space="preserve">по</w:t>
            </w:r>
            <w:r>
              <w:rPr>
                <w:bCs/>
                <w:sz w:val="20"/>
                <w:szCs w:val="20"/>
              </w:rPr>
              <w:t xml:space="preserve"> ОКЕИ)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7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Базовое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значение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Значения мероприятия (результата), </w:t>
            </w:r>
            <w:r>
              <w:rPr>
                <w:sz w:val="20"/>
                <w:szCs w:val="20"/>
                <w:lang w:val="ru-RU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7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53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6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значение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W w:w="844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год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5" w:type="dxa"/>
            <w:vAlign w:val="center"/>
            <w:textDirection w:val="lrTb"/>
            <w:noWrap/>
          </w:tcPr>
          <w:p>
            <w:pPr>
              <w:ind w:left="4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left="4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59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2029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5" w:type="dxa"/>
            <w:vAlign w:val="center"/>
            <w:textDirection w:val="lrTb"/>
            <w:noWrap/>
          </w:tcPr>
          <w:p>
            <w:pPr>
              <w:ind w:left="17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2030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75" w:type="dxa"/>
            <w:vMerge w:val="continue"/>
            <w:textDirection w:val="lrTb"/>
            <w:noWrap/>
          </w:tcPr>
          <w:p>
            <w:pPr>
              <w:ind w:left="17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/>
          </w:tcPr>
          <w:p>
            <w:pPr>
              <w:ind w:left="4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textDirection w:val="lrTb"/>
            <w:noWrap/>
          </w:tcPr>
          <w:p>
            <w:pPr>
              <w:ind w:left="10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/>
          </w:tcPr>
          <w:p>
            <w:pPr>
              <w:ind w:left="8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textDirection w:val="lrTb"/>
            <w:noWrap/>
          </w:tcPr>
          <w:p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3" w:type="dxa"/>
            <w:textDirection w:val="lrTb"/>
            <w:noWrap/>
          </w:tcPr>
          <w:p>
            <w:pPr>
              <w:ind w:left="41"/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Задача1. «Обеспечение деятельности (оказание услуг) муниципальных учреждений (организаций)»</w:t>
            </w:r>
            <w:r>
              <w:rPr>
                <w:bCs/>
                <w:i/>
                <w:sz w:val="20"/>
                <w:szCs w:val="20"/>
                <w:lang w:val="ru-RU"/>
              </w:rPr>
            </w:r>
            <w:r>
              <w:rPr>
                <w:bCs/>
                <w:i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3" w:type="dxa"/>
            <w:vAlign w:val="center"/>
            <w:textDirection w:val="lrTb"/>
            <w:noWrap/>
          </w:tcPr>
          <w:p>
            <w:pPr>
              <w:ind w:left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Мероприятие: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z w:val="20"/>
                <w:szCs w:val="20"/>
                <w:lang w:val="ru-RU"/>
              </w:rPr>
              <w:t xml:space="preserve"> проведены мероприятия по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bCs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организация доступа на спортивные объекты, оказание физкультурно-оздоровительных услуг для всех  категорий граждан, проведение физкультурно-массовых и спортивных мероприятий, организация активного досуга </w:t>
            </w:r>
            <w:r>
              <w:rPr>
                <w:sz w:val="20"/>
                <w:szCs w:val="20"/>
                <w:lang w:val="ru-RU"/>
              </w:rPr>
              <w:t xml:space="preserve">МБУ ДО «Спортивная школа Красногвардейского района» проведение мероприятий физкультурно-массовой и спортивной направленности ориентирование на особенности развития детей и подростков,  а также проведение и  принятие участие в спортивных мероприятиях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3" w:type="dxa"/>
            <w:vAlign w:val="center"/>
            <w:textDirection w:val="lrTb"/>
            <w:noWrap/>
          </w:tcPr>
          <w:p>
            <w:pPr>
              <w:ind w:left="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 2. «Мероприятия»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3" w:type="dxa"/>
            <w:vAlign w:val="center"/>
            <w:textDirection w:val="lrTb"/>
            <w:noWrap/>
          </w:tcPr>
          <w:p>
            <w:pPr>
              <w:ind w:left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 (результат)»: МБУ ДО «Спортивная школа Красногвардейского района» проведены мероприятия физкультурно-массовой и спортивной</w:t>
            </w:r>
            <w:r>
              <w:rPr>
                <w:sz w:val="20"/>
                <w:szCs w:val="20"/>
                <w:lang w:val="ru-RU"/>
              </w:rPr>
              <w:t xml:space="preserve"> направленности, ориентированные на особенности развития детей и подростков,  а также спортсмены МБУ ДО «Спортивная школа Красногвардейского района» приняли участие в спортивных мероприятиях за пределами Красногвардейского района Мероприятие (результат) 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, МАУ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z w:val="20"/>
                <w:szCs w:val="20"/>
                <w:lang w:val="ru-RU"/>
              </w:rPr>
              <w:t xml:space="preserve"> оказывают услуги спортивно-оздоровительного характера населению </w:t>
            </w:r>
            <w:r>
              <w:rPr>
                <w:sz w:val="20"/>
                <w:szCs w:val="20"/>
              </w:rPr>
              <w:t xml:space="preserve">Красногвардейскогорайона</w:t>
            </w:r>
            <w:r>
              <w:rPr>
                <w:bCs/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</w:tbl>
    <w:p>
      <w:pPr>
        <w:jc w:val="center"/>
        <w:spacing w:after="160" w:line="259" w:lineRule="auto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pStyle w:val="1029"/>
        <w:numPr>
          <w:ilvl w:val="0"/>
          <w:numId w:val="5"/>
        </w:numPr>
        <w:jc w:val="center"/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Финансовое обеспечение комплекса процессных мероприятий 1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rPr>
          <w:rFonts w:asciiTheme="minorHAnsi" w:hAnsiTheme="minorHAnsi" w:eastAsiaTheme="minorHAnsi" w:cstheme="minorBidi"/>
          <w:sz w:val="22"/>
          <w:szCs w:val="22"/>
          <w:lang w:val="ru-RU"/>
        </w:rPr>
      </w:pP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</w:p>
    <w:tbl>
      <w:tblPr>
        <w:tblStyle w:val="1037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62"/>
        <w:gridCol w:w="2139"/>
        <w:gridCol w:w="628"/>
        <w:gridCol w:w="552"/>
        <w:gridCol w:w="552"/>
        <w:gridCol w:w="475"/>
        <w:gridCol w:w="475"/>
        <w:gridCol w:w="475"/>
        <w:gridCol w:w="704"/>
      </w:tblGrid>
      <w:tr>
        <w:tblPrEx/>
        <w:trPr>
          <w:trHeight w:val="20"/>
          <w:tblHeader/>
        </w:trPr>
        <w:tc>
          <w:tcPr>
            <w:tcW w:w="3120" w:type="pct"/>
            <w:vAlign w:val="center"/>
            <w:vMerge w:val="restart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Код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бюджетной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классификации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gridSpan w:val="7"/>
            <w:tcW w:w="1196" w:type="pct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Объем финансового обеспечения по годам, тыс. рублей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3120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vMerge w:val="continue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2025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2026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2027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2030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3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4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Комплекс процессных мероприятий 1 « Проведение физкультурно-массовых и спортивных мероприятий» (всего), в том числе: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054 01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44447,63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30133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195396,63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i/>
                <w:sz w:val="20"/>
                <w:szCs w:val="20"/>
                <w:lang w:val="ru-RU"/>
              </w:rPr>
            </w:r>
            <w:r>
              <w:rPr>
                <w:i/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42207,63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27893,0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181956,63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13440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1.1. Мероприятие (результат) «Обеспечение деятельности (оказание услуг) муниципальных учреждений (организаций)»  всего, в том числе: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vAlign w:val="center"/>
            <w:textDirection w:val="lrTb"/>
            <w:noWrap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05 4 01 00590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44447,63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30133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195396,63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межбюджетные трансферты из федерального бюджета (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межбюджетные трансферты из областного бюджета (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80"/>
        </w:trPr>
        <w:tc>
          <w:tcPr>
            <w:tcW w:w="3120" w:type="pct"/>
            <w:vMerge w:val="restar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84" w:type="pct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874 0703 0540100590 600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5226,0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5323,0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32125,0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25"/>
        </w:trPr>
        <w:tc>
          <w:tcPr>
            <w:tcW w:w="3120" w:type="pct"/>
            <w:vMerge w:val="continue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684" w:type="pct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874 1102 0540100590 600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00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36981,63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76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76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40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40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40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25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149831,63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72"/>
        </w:trPr>
        <w:tc>
          <w:tcPr>
            <w:tcW w:w="3120" w:type="pc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внебюджетные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13440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1.2.  Мероприятие (результат) «Мероприятия по развитию физической культуры и массового спорта  всего, в том числе:</w:t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054 01 29990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874 1102 0540129990 100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874 1102 0540129990 200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</w:tbl>
    <w:p>
      <w:pPr>
        <w:contextualSpacing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6. План реализации комплекса процессных мероприятий 1.</w:t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rPr>
          <w:rFonts w:asciiTheme="minorHAnsi" w:hAnsiTheme="minorHAnsi" w:eastAsiaTheme="minorHAnsi" w:cstheme="minorBidi"/>
          <w:sz w:val="22"/>
          <w:szCs w:val="22"/>
          <w:lang w:val="ru-RU"/>
        </w:rPr>
      </w:pP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</w:p>
    <w:tbl>
      <w:tblPr>
        <w:tblStyle w:val="1039"/>
        <w:tblW w:w="15474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890"/>
        <w:gridCol w:w="2663"/>
        <w:gridCol w:w="4622"/>
        <w:gridCol w:w="2845"/>
      </w:tblGrid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п/п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vAlign w:val="center"/>
            <w:textDirection w:val="lrTb"/>
            <w:noWrap/>
          </w:tcPr>
          <w:p>
            <w:pPr>
              <w:ind w:left="8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Задача, мероприятие (результат) /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  <w:p>
            <w:pPr>
              <w:ind w:left="8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Дата наступления контрольной точки (день. месяц)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Ответственный исполнитель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left="173" w:right="158"/>
              <w:jc w:val="center"/>
              <w:widowControl w:val="off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(Ф.И.О., должность, наименование подразделения, организации)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Видподтверждающегодокумента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29" w:type="dxa"/>
            <w:textDirection w:val="lrTb"/>
            <w:noWrap/>
          </w:tcPr>
          <w:p>
            <w:pPr>
              <w:numPr>
                <w:ilvl w:val="0"/>
                <w:numId w:val="6"/>
              </w:numPr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Обеспечение деятельности (оказание услуг) муниципальных учреждений (организаций)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Мероприятие (результат): «День открытых дверей МБУ ДО «Спортивная школа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«Спортивная школа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.1.1.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«Проведение дня открытых дверей МБУ ДО «Спортивная школа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15.10.2025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.2.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Мероприятие (результат): проведение соревнований и участие в соревнованиях в 2025 году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«Спортивная школа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.2.1.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Разработка и согласование календарный план соревнований в 2025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17.02.2025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«Спортивная школа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 xml:space="preserve">Положение</w:t>
            </w:r>
            <w:r>
              <w:rPr>
                <w:bCs/>
                <w:sz w:val="20"/>
                <w:szCs w:val="20"/>
              </w:rPr>
              <w:t xml:space="preserve"> о </w:t>
            </w:r>
            <w:r>
              <w:rPr>
                <w:bCs/>
                <w:sz w:val="20"/>
                <w:szCs w:val="20"/>
              </w:rPr>
              <w:t xml:space="preserve">проведении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мероприяти</w:t>
            </w:r>
            <w:r>
              <w:rPr>
                <w:bCs/>
                <w:sz w:val="20"/>
                <w:szCs w:val="20"/>
                <w:lang w:val="ru-RU"/>
              </w:rPr>
              <w:t xml:space="preserve">й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.2.2.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Проведены мероприятия и принятое участие согласно календарного плана в 2025 году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25.12.2025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С.А..– Директор МБУ ДО «Спортивная школа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Мероприятие (результат): проведение мероприятий согласно ежемесячного плана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. -Директор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.3.1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«Разработка и согласование плана мероприятий на месяц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. -Директор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План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.3.2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Контрольная точка: «Проведение </w:t>
            </w:r>
            <w:r>
              <w:rPr>
                <w:bCs/>
                <w:sz w:val="20"/>
                <w:szCs w:val="20"/>
                <w:lang w:val="ru-RU"/>
              </w:rPr>
              <w:t xml:space="preserve">мероприятий согласно плана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. -Директор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Мероприятие (результат): Обеспечение доступа к объектам спорта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. -Директор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.4.1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Обеспечен доступ посетителям к объектам спорта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 xml:space="preserve">27.02.202</w:t>
            </w:r>
            <w:r>
              <w:rPr>
                <w:bCs/>
                <w:sz w:val="20"/>
                <w:szCs w:val="20"/>
                <w:lang w:val="ru-RU"/>
              </w:rPr>
              <w:t xml:space="preserve">5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. -Директор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Отчет о выполнении муниципального задания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bCs/>
                <w:sz w:val="20"/>
                <w:szCs w:val="20"/>
                <w:lang w:val="ru-RU"/>
              </w:rPr>
              <w:t xml:space="preserve">» за 2025 год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29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 </w:t>
            </w:r>
            <w:r>
              <w:rPr>
                <w:bCs/>
                <w:iCs/>
                <w:sz w:val="20"/>
                <w:szCs w:val="20"/>
              </w:rPr>
              <w:t xml:space="preserve">Мероприятия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</w:r>
            <w:r>
              <w:rPr>
                <w:bCs/>
                <w:i/>
                <w:sz w:val="20"/>
                <w:szCs w:val="20"/>
                <w:lang w:val="ru-RU"/>
              </w:rPr>
            </w:r>
            <w:r>
              <w:rPr>
                <w:bCs/>
                <w:i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jc w:val="center"/>
              <w:rPr>
                <w:bCs/>
                <w:strike/>
                <w:sz w:val="20"/>
                <w:szCs w:val="20"/>
              </w:rPr>
            </w:pPr>
            <w:r>
              <w:rPr>
                <w:bCs/>
                <w:strike/>
                <w:sz w:val="20"/>
                <w:szCs w:val="20"/>
              </w:rPr>
            </w:r>
            <w:r>
              <w:rPr>
                <w:bCs/>
                <w:strike/>
                <w:sz w:val="20"/>
                <w:szCs w:val="20"/>
              </w:rPr>
            </w:r>
            <w:r>
              <w:rPr>
                <w:bCs/>
                <w:strike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.1.</w:t>
            </w: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Мероприятие (результат)</w:t>
            </w:r>
            <w:r>
              <w:rPr>
                <w:bCs/>
                <w:sz w:val="20"/>
                <w:szCs w:val="20"/>
                <w:lang w:val="ru-RU"/>
              </w:rPr>
              <w:t xml:space="preserve">Проведение спортивных мероприятий </w:t>
            </w:r>
            <w:r>
              <w:rPr>
                <w:bCs/>
                <w:sz w:val="20"/>
                <w:szCs w:val="20"/>
                <w:lang w:val="ru-RU"/>
              </w:rPr>
              <w:t xml:space="preserve">согластно</w:t>
            </w:r>
            <w:r>
              <w:rPr>
                <w:bCs/>
                <w:sz w:val="20"/>
                <w:szCs w:val="20"/>
                <w:lang w:val="ru-RU"/>
              </w:rPr>
              <w:t xml:space="preserve"> плана</w:t>
            </w: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. -Директор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.1.1.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Разработка положения о проведении </w:t>
            </w:r>
            <w:r>
              <w:rPr>
                <w:bCs/>
                <w:iCs/>
                <w:sz w:val="20"/>
                <w:szCs w:val="20"/>
                <w:lang w:val="ru-RU"/>
              </w:rPr>
              <w:t xml:space="preserve">спортивных мероприятий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15.04.2025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. -Директор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Положение</w:t>
            </w:r>
            <w:r>
              <w:rPr>
                <w:bCs/>
                <w:sz w:val="20"/>
                <w:szCs w:val="20"/>
              </w:rPr>
              <w:t xml:space="preserve"> о </w:t>
            </w:r>
            <w:r>
              <w:rPr>
                <w:bCs/>
                <w:sz w:val="20"/>
                <w:szCs w:val="20"/>
              </w:rPr>
              <w:t xml:space="preserve">проведениимероприятия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.1.2.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Контрольнаяточка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 xml:space="preserve">проведено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мероприятие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25.12.2025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. -Директор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Лихолетов В.Е. – Директор МАУ «ФОК «Старт», Кононов С.А. – Директор МАУ «ФОК «Победа»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Мероприятие (результат) Участие в соревнованиях </w:t>
            </w:r>
            <w:r>
              <w:rPr>
                <w:bCs/>
                <w:iCs/>
                <w:sz w:val="20"/>
                <w:szCs w:val="20"/>
                <w:lang w:val="ru-RU"/>
              </w:rPr>
              <w:t xml:space="preserve">согластно</w:t>
            </w:r>
            <w:r>
              <w:rPr>
                <w:bCs/>
                <w:iCs/>
                <w:sz w:val="20"/>
                <w:szCs w:val="20"/>
                <w:lang w:val="ru-RU"/>
              </w:rPr>
              <w:t xml:space="preserve"> календарного плана 2025 года»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.2.1.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Разработан приказ о участии в спортивном мероприятии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.0</w:t>
            </w:r>
            <w:r>
              <w:rPr>
                <w:bCs/>
                <w:sz w:val="20"/>
                <w:szCs w:val="20"/>
                <w:lang w:val="ru-RU"/>
              </w:rPr>
              <w:t xml:space="preserve">9</w:t>
            </w:r>
            <w:r>
              <w:rPr>
                <w:bCs/>
                <w:sz w:val="20"/>
                <w:szCs w:val="20"/>
              </w:rPr>
              <w:t xml:space="preserve">.2025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. -Директор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Положение</w:t>
            </w:r>
            <w:r>
              <w:rPr>
                <w:bCs/>
                <w:sz w:val="20"/>
                <w:szCs w:val="20"/>
              </w:rPr>
              <w:t xml:space="preserve"> о </w:t>
            </w:r>
            <w:r>
              <w:rPr>
                <w:bCs/>
                <w:sz w:val="20"/>
                <w:szCs w:val="20"/>
              </w:rPr>
              <w:t xml:space="preserve">проведении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мероприятия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.2.2.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 xml:space="preserve">Контрольная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точка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  <w:lang w:val="ru-RU"/>
              </w:rPr>
              <w:t xml:space="preserve">принятое участие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14.09</w:t>
            </w:r>
            <w:r>
              <w:rPr>
                <w:bCs/>
                <w:sz w:val="20"/>
                <w:szCs w:val="20"/>
              </w:rPr>
              <w:t xml:space="preserve">.2025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. -Директор 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spacing w:after="160" w:line="259" w:lineRule="auto"/>
        <w:rPr>
          <w:rFonts w:eastAsiaTheme="majorEastAsia"/>
          <w:b/>
          <w:sz w:val="22"/>
          <w:szCs w:val="22"/>
          <w:lang w:val="ru-RU"/>
        </w:rPr>
        <w:sectPr>
          <w:headerReference w:type="default" r:id="rId10"/>
          <w:headerReference w:type="first" r:id="rId11"/>
          <w:footerReference w:type="default" r:id="rId12"/>
          <w:footerReference w:type="first" r:id="rId13"/>
          <w:footnotePr/>
          <w:endnotePr/>
          <w:type w:val="nextPage"/>
          <w:pgSz w:w="16840" w:h="11907" w:orient="landscape"/>
          <w:pgMar w:top="1134" w:right="567" w:bottom="993" w:left="567" w:header="709" w:footer="709" w:gutter="0"/>
          <w:pgNumType w:start="8"/>
          <w:cols w:num="1" w:sep="0" w:space="720" w:equalWidth="1"/>
          <w:docGrid w:linePitch="360"/>
          <w:titlePg/>
        </w:sectPr>
      </w:pPr>
      <w:r>
        <w:rPr>
          <w:rFonts w:asciiTheme="minorHAnsi" w:hAnsiTheme="minorHAnsi" w:eastAsiaTheme="minorHAnsi" w:cstheme="minorBidi"/>
          <w:sz w:val="22"/>
          <w:szCs w:val="22"/>
          <w:lang w:val="ru-RU"/>
        </w:rPr>
        <w:br w:type="page" w:clear="all"/>
      </w:r>
      <w:r>
        <w:rPr>
          <w:rFonts w:eastAsiaTheme="majorEastAsia"/>
          <w:b/>
          <w:sz w:val="22"/>
          <w:szCs w:val="22"/>
          <w:lang w:val="ru-RU"/>
        </w:rPr>
      </w:r>
      <w:r>
        <w:rPr>
          <w:rFonts w:eastAsiaTheme="majorEastAsia"/>
          <w:b/>
          <w:sz w:val="22"/>
          <w:szCs w:val="22"/>
          <w:lang w:val="ru-RU"/>
        </w:rPr>
      </w:r>
    </w:p>
    <w:p>
      <w:pPr>
        <w:jc w:val="right"/>
        <w:keepLines/>
        <w:keepNext/>
        <w:rPr>
          <w:b/>
          <w:sz w:val="22"/>
          <w:szCs w:val="22"/>
          <w:lang w:val="ru-RU" w:eastAsia="ru-RU"/>
        </w:rPr>
        <w:outlineLvl w:val="2"/>
      </w:pPr>
      <w:r>
        <w:rPr>
          <w:b/>
          <w:sz w:val="22"/>
          <w:szCs w:val="22"/>
          <w:lang w:val="ru-RU" w:eastAsia="ru-RU"/>
        </w:rPr>
        <w:t xml:space="preserve">Приложение № 3</w:t>
      </w: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</w:p>
    <w:p>
      <w:pPr>
        <w:jc w:val="right"/>
        <w:keepLines/>
        <w:keepNext/>
        <w:rPr>
          <w:b/>
          <w:sz w:val="22"/>
          <w:szCs w:val="22"/>
          <w:lang w:val="ru-RU" w:eastAsia="ru-RU"/>
        </w:rPr>
        <w:outlineLvl w:val="2"/>
      </w:pP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</w:p>
    <w:p>
      <w:pPr>
        <w:jc w:val="center"/>
        <w:keepLines/>
        <w:keepNext/>
        <w:rPr>
          <w:b/>
          <w:sz w:val="22"/>
          <w:szCs w:val="22"/>
          <w:lang w:val="ru-RU" w:eastAsia="ru-RU"/>
        </w:rPr>
        <w:outlineLvl w:val="2"/>
      </w:pPr>
      <w:r>
        <w:rPr>
          <w:b/>
          <w:sz w:val="22"/>
          <w:szCs w:val="22"/>
          <w:lang w:val="ru-RU" w:eastAsia="ru-RU"/>
        </w:rPr>
        <w:t xml:space="preserve">Паспорт комплекса процессных мероприятий «Обеспечение </w:t>
      </w:r>
      <w:r>
        <w:rPr>
          <w:b/>
          <w:sz w:val="22"/>
          <w:szCs w:val="22"/>
          <w:lang w:val="ru-RU" w:eastAsia="ru-RU"/>
        </w:rPr>
        <w:t xml:space="preserve">функцийуправления</w:t>
      </w:r>
      <w:r>
        <w:rPr>
          <w:b/>
          <w:sz w:val="22"/>
          <w:szCs w:val="22"/>
          <w:lang w:val="ru-RU" w:eastAsia="ru-RU"/>
        </w:rPr>
        <w:t xml:space="preserve"> в сфере физической культуры и спорта» </w:t>
      </w: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</w:p>
    <w:p>
      <w:pPr>
        <w:jc w:val="center"/>
        <w:keepLines/>
        <w:keepNext/>
        <w:rPr>
          <w:b/>
          <w:sz w:val="22"/>
          <w:szCs w:val="22"/>
          <w:lang w:val="ru-RU" w:eastAsia="ru-RU"/>
        </w:rPr>
        <w:outlineLvl w:val="2"/>
      </w:pPr>
      <w:r>
        <w:rPr>
          <w:b/>
          <w:sz w:val="22"/>
          <w:szCs w:val="22"/>
          <w:lang w:val="ru-RU" w:eastAsia="ru-RU"/>
        </w:rPr>
        <w:t xml:space="preserve">(далее – комплекс процессных мероприятий 2)</w:t>
      </w: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</w:p>
    <w:p>
      <w:pPr>
        <w:jc w:val="center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</w:r>
      <w:r>
        <w:rPr>
          <w:rFonts w:eastAsia="Calibri"/>
          <w:bCs/>
          <w:sz w:val="22"/>
          <w:szCs w:val="22"/>
          <w:lang w:val="ru-RU"/>
        </w:rPr>
      </w:r>
      <w:r>
        <w:rPr>
          <w:rFonts w:eastAsia="Calibri"/>
          <w:bCs/>
          <w:sz w:val="22"/>
          <w:szCs w:val="22"/>
          <w:lang w:val="ru-RU"/>
        </w:rPr>
      </w:r>
    </w:p>
    <w:p>
      <w:pPr>
        <w:contextualSpacing/>
        <w:jc w:val="center"/>
        <w:rPr>
          <w:rFonts w:ascii="Calibri" w:hAnsi="Calibri"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  <w:t xml:space="preserve">1. Общие положения</w:t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tbl>
      <w:tblPr>
        <w:tblStyle w:val="1037"/>
        <w:tblW w:w="478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5"/>
        <w:gridCol w:w="12597"/>
      </w:tblGrid>
      <w:tr>
        <w:tblPrEx/>
        <w:trPr>
          <w:jc w:val="center"/>
          <w:trHeight w:val="516"/>
        </w:trPr>
        <w:tc>
          <w:tcPr>
            <w:tcW w:w="2645" w:type="pct"/>
            <w:vAlign w:val="center"/>
            <w:textDirection w:val="lrTb"/>
            <w:noWrap/>
          </w:tcPr>
          <w:p>
            <w:pPr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Ответственный</w:t>
            </w:r>
            <w:r>
              <w:rPr>
                <w:rFonts w:eastAsia="Calibri"/>
                <w:bCs/>
                <w:sz w:val="20"/>
              </w:rPr>
              <w:t xml:space="preserve"> </w:t>
            </w:r>
            <w:r>
              <w:rPr>
                <w:rFonts w:eastAsia="Calibri"/>
                <w:bCs/>
                <w:sz w:val="20"/>
              </w:rPr>
              <w:t xml:space="preserve">исполнитель</w:t>
            </w:r>
            <w:r>
              <w:rPr>
                <w:rFonts w:eastAsia="Calibri"/>
                <w:bCs/>
                <w:sz w:val="20"/>
              </w:rPr>
              <w:t xml:space="preserve"> (</w:t>
            </w:r>
            <w:r>
              <w:rPr>
                <w:rFonts w:eastAsia="Calibri"/>
                <w:bCs/>
                <w:sz w:val="20"/>
              </w:rPr>
              <w:t xml:space="preserve">подразделение</w:t>
            </w:r>
            <w:r>
              <w:rPr>
                <w:rFonts w:eastAsia="Calibri"/>
                <w:bCs/>
                <w:sz w:val="20"/>
              </w:rPr>
              <w:t xml:space="preserve"> / </w:t>
            </w:r>
            <w:r>
              <w:rPr>
                <w:rFonts w:eastAsia="Calibri"/>
                <w:bCs/>
                <w:sz w:val="20"/>
              </w:rPr>
              <w:t xml:space="preserve">организация</w:t>
            </w:r>
            <w:r>
              <w:rPr>
                <w:rFonts w:eastAsia="Calibri"/>
                <w:bCs/>
                <w:sz w:val="20"/>
              </w:rPr>
              <w:t xml:space="preserve">)</w:t>
            </w:r>
            <w:r>
              <w:rPr>
                <w:rFonts w:eastAsia="Calibri"/>
                <w:bCs/>
                <w:sz w:val="20"/>
              </w:rPr>
            </w:r>
            <w:r>
              <w:rPr>
                <w:rFonts w:eastAsia="Calibri"/>
                <w:bCs/>
                <w:sz w:val="20"/>
              </w:rPr>
            </w:r>
          </w:p>
        </w:tc>
        <w:tc>
          <w:tcPr>
            <w:tcW w:w="2355" w:type="pct"/>
            <w:vAlign w:val="center"/>
            <w:textDirection w:val="lrTb"/>
            <w:noWrap/>
          </w:tcPr>
          <w:p>
            <w:pPr>
              <w:rPr>
                <w:rFonts w:eastAsia="Calibri"/>
                <w:bCs/>
                <w:sz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 Останков Дмитрий Александрович, начальник МКУ «Управление физической культуры и спорта администрации Красногвардейского района»</w:t>
            </w:r>
            <w:r>
              <w:rPr>
                <w:rFonts w:eastAsia="Calibri"/>
                <w:bCs/>
                <w:sz w:val="20"/>
                <w:lang w:val="ru-RU"/>
              </w:rPr>
            </w:r>
            <w:r>
              <w:rPr>
                <w:rFonts w:eastAsia="Calibri"/>
                <w:bCs/>
                <w:sz w:val="20"/>
                <w:lang w:val="ru-RU"/>
              </w:rPr>
            </w:r>
          </w:p>
        </w:tc>
      </w:tr>
      <w:tr>
        <w:tblPrEx/>
        <w:trPr>
          <w:jc w:val="center"/>
          <w:trHeight w:val="210"/>
        </w:trPr>
        <w:tc>
          <w:tcPr>
            <w:tcW w:w="2645" w:type="pct"/>
            <w:vAlign w:val="center"/>
            <w:textDirection w:val="lrTb"/>
            <w:noWrap/>
          </w:tcPr>
          <w:p>
            <w:pPr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Связь</w:t>
            </w:r>
            <w:r>
              <w:rPr>
                <w:rFonts w:eastAsia="Calibri"/>
                <w:bCs/>
                <w:sz w:val="20"/>
              </w:rPr>
              <w:t xml:space="preserve"> с </w:t>
            </w:r>
            <w:r>
              <w:rPr>
                <w:rFonts w:eastAsia="Calibri"/>
                <w:bCs/>
                <w:sz w:val="20"/>
              </w:rPr>
              <w:t xml:space="preserve">муниципальной</w:t>
            </w:r>
            <w:r>
              <w:rPr>
                <w:rFonts w:eastAsia="Calibri"/>
                <w:bCs/>
                <w:sz w:val="20"/>
              </w:rPr>
              <w:t xml:space="preserve"> </w:t>
            </w:r>
            <w:r>
              <w:rPr>
                <w:rFonts w:eastAsia="Calibri"/>
                <w:bCs/>
                <w:sz w:val="20"/>
              </w:rPr>
              <w:t xml:space="preserve">программой</w:t>
            </w:r>
            <w:r>
              <w:rPr>
                <w:rFonts w:eastAsia="Calibri"/>
                <w:bCs/>
                <w:sz w:val="20"/>
              </w:rPr>
            </w:r>
            <w:r>
              <w:rPr>
                <w:rFonts w:eastAsia="Calibri"/>
                <w:bCs/>
                <w:sz w:val="20"/>
              </w:rPr>
            </w:r>
          </w:p>
        </w:tc>
        <w:tc>
          <w:tcPr>
            <w:tcW w:w="2355" w:type="pct"/>
            <w:vAlign w:val="center"/>
            <w:textDirection w:val="lrTb"/>
            <w:noWrap/>
          </w:tcPr>
          <w:p>
            <w:pPr>
              <w:rPr>
                <w:rFonts w:eastAsia="Calibri"/>
                <w:bCs/>
                <w:sz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Муниципальная программа Красногвардейского района «Развитие физической культуры и спорта в Красногвардейском районе»</w:t>
            </w:r>
            <w:r>
              <w:rPr>
                <w:rFonts w:eastAsia="Calibri"/>
                <w:bCs/>
                <w:sz w:val="20"/>
                <w:lang w:val="ru-RU"/>
              </w:rPr>
            </w:r>
            <w:r>
              <w:rPr>
                <w:rFonts w:eastAsia="Calibri"/>
                <w:bCs/>
                <w:sz w:val="20"/>
                <w:lang w:val="ru-RU"/>
              </w:rPr>
            </w:r>
          </w:p>
        </w:tc>
      </w:tr>
    </w:tbl>
    <w:p>
      <w:pPr>
        <w:rPr>
          <w:rFonts w:eastAsia="Calibri"/>
          <w:b/>
          <w:sz w:val="22"/>
          <w:szCs w:val="22"/>
          <w:lang w:val="ru-RU"/>
        </w:rPr>
      </w:pPr>
      <w:r>
        <w:rPr>
          <w:rFonts w:eastAsia="Calibri"/>
          <w:b/>
          <w:sz w:val="22"/>
          <w:szCs w:val="22"/>
          <w:lang w:val="ru-RU"/>
        </w:rPr>
      </w:r>
      <w:r>
        <w:rPr>
          <w:rFonts w:eastAsia="Calibri"/>
          <w:b/>
          <w:sz w:val="22"/>
          <w:szCs w:val="22"/>
          <w:lang w:val="ru-RU"/>
        </w:rPr>
      </w:r>
      <w:r>
        <w:rPr>
          <w:rFonts w:eastAsia="Calibri"/>
          <w:b/>
          <w:sz w:val="22"/>
          <w:szCs w:val="22"/>
          <w:lang w:val="ru-RU"/>
        </w:rPr>
      </w:r>
    </w:p>
    <w:p>
      <w:pPr>
        <w:contextualSpacing/>
        <w:jc w:val="center"/>
        <w:rPr>
          <w:rFonts w:eastAsia="Calibri"/>
          <w:sz w:val="22"/>
          <w:szCs w:val="22"/>
        </w:rPr>
        <w:outlineLvl w:val="3"/>
      </w:pPr>
      <w:r>
        <w:rPr>
          <w:rFonts w:eastAsia="Calibri"/>
          <w:sz w:val="22"/>
          <w:szCs w:val="22"/>
          <w:lang w:val="ru-RU"/>
        </w:rPr>
        <w:t xml:space="preserve">2. Показатели комплекса процессных мероприятий 2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tbl>
      <w:tblPr>
        <w:tblW w:w="486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4759"/>
        <w:gridCol w:w="1100"/>
        <w:gridCol w:w="1193"/>
        <w:gridCol w:w="1087"/>
        <w:gridCol w:w="820"/>
        <w:gridCol w:w="604"/>
        <w:gridCol w:w="504"/>
        <w:gridCol w:w="56"/>
        <w:gridCol w:w="543"/>
        <w:gridCol w:w="593"/>
        <w:gridCol w:w="56"/>
        <w:gridCol w:w="503"/>
        <w:gridCol w:w="595"/>
        <w:gridCol w:w="56"/>
        <w:gridCol w:w="457"/>
        <w:gridCol w:w="56"/>
        <w:gridCol w:w="2204"/>
      </w:tblGrid>
      <w:tr>
        <w:tblPrEx/>
        <w:trPr>
          <w:tblHeader/>
        </w:trPr>
        <w:tc>
          <w:tcPr>
            <w:shd w:val="clear" w:color="auto" w:fill="ffffff"/>
            <w:tcW w:w="59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№ п/п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Наименование показателя/задачи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Признак возрастания/ убывания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Уровень показателя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Единица измерения (по ОКЕИ)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148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Базовое значение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10"/>
            <w:shd w:val="clear" w:color="auto" w:fill="ffffff"/>
            <w:tcW w:w="351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Значение показателей по годам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31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Ответственный за достижение показателя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fff"/>
            <w:tcW w:w="59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3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значение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год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4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3"/>
            <w:shd w:val="clear" w:color="auto" w:fill="ffffff"/>
            <w:tcW w:w="56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2030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318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3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3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5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6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7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5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4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3"/>
            <w:shd w:val="clear" w:color="auto" w:fill="ffffff"/>
            <w:tcW w:w="5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31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17"/>
            <w:shd w:val="clear" w:color="auto" w:fill="ffffff"/>
            <w:tcW w:w="1474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Задача 1 «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Обеспечение деятельности(оказание услуг) муниципальными учреждениями (организациями)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»  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078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1.1.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лет;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60,3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951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700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336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34,1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37,3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39,6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43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районаспортивными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66,4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68,2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51,7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52,4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1.9.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ежегодного достижения показателей муниципальной программы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ВДЛ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bCs/>
                <w:sz w:val="20"/>
                <w:lang w:val="ru-RU"/>
              </w:rPr>
            </w:r>
            <w:r>
              <w:rPr>
                <w:bCs/>
                <w:sz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17"/>
            <w:shd w:val="clear" w:color="auto" w:fill="ffffff"/>
            <w:tcW w:w="1474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Задача 2.  «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Мероприятия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»  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238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1.1.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лет;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60,3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951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502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336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34,1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37,3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39,6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43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 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66,4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68,2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51,7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52,4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на территории района и принятого участия в спортивных мероприятиях за пределами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ВДЛ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Единиц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300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320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bCs/>
                <w:sz w:val="20"/>
                <w:lang w:val="ru-RU"/>
              </w:rPr>
            </w:r>
            <w:r>
              <w:rPr>
                <w:bCs/>
                <w:sz w:val="20"/>
                <w:lang w:val="ru-RU"/>
              </w:rPr>
            </w:r>
          </w:p>
        </w:tc>
      </w:tr>
    </w:tbl>
    <w:p>
      <w:pPr>
        <w:contextualSpacing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rPr>
          <w:rFonts w:eastAsia="Calibri"/>
          <w:sz w:val="22"/>
          <w:szCs w:val="22"/>
          <w:highlight w:val="yellow"/>
          <w:lang w:val="ru-RU"/>
        </w:rPr>
      </w:pPr>
      <w:r>
        <w:rPr>
          <w:rFonts w:eastAsia="Calibri"/>
          <w:sz w:val="22"/>
          <w:szCs w:val="22"/>
          <w:highlight w:val="yellow"/>
          <w:lang w:val="ru-RU"/>
        </w:rPr>
      </w:r>
      <w:r>
        <w:rPr>
          <w:rFonts w:eastAsia="Calibri"/>
          <w:sz w:val="22"/>
          <w:szCs w:val="22"/>
          <w:highlight w:val="yellow"/>
          <w:lang w:val="ru-RU"/>
        </w:rPr>
      </w:r>
      <w:r>
        <w:rPr>
          <w:rFonts w:eastAsia="Calibri"/>
          <w:sz w:val="22"/>
          <w:szCs w:val="22"/>
          <w:highlight w:val="yellow"/>
          <w:lang w:val="ru-RU"/>
        </w:rPr>
      </w:r>
    </w:p>
    <w:p>
      <w:pPr>
        <w:contextualSpacing/>
        <w:jc w:val="center"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  <w:t xml:space="preserve">3. </w:t>
      </w:r>
      <w:r>
        <w:rPr>
          <w:rFonts w:eastAsia="Calibri"/>
          <w:sz w:val="20"/>
          <w:szCs w:val="16"/>
          <w:lang w:val="ru-RU"/>
        </w:rPr>
        <w:t xml:space="preserve">Помесячный план</w:t>
      </w:r>
      <w:r>
        <w:rPr>
          <w:rFonts w:eastAsia="Calibri"/>
          <w:sz w:val="22"/>
          <w:szCs w:val="22"/>
          <w:lang w:val="ru-RU"/>
        </w:rPr>
        <w:t xml:space="preserve"> достижения показателей комплекса процессных мероприятий 2 в 2025 году</w:t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tbl>
      <w:tblPr>
        <w:tblW w:w="479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8"/>
        <w:gridCol w:w="3918"/>
        <w:gridCol w:w="622"/>
        <w:gridCol w:w="1385"/>
        <w:gridCol w:w="721"/>
        <w:gridCol w:w="650"/>
        <w:gridCol w:w="761"/>
        <w:gridCol w:w="721"/>
        <w:gridCol w:w="707"/>
        <w:gridCol w:w="735"/>
        <w:gridCol w:w="722"/>
        <w:gridCol w:w="603"/>
        <w:gridCol w:w="613"/>
        <w:gridCol w:w="609"/>
        <w:gridCol w:w="614"/>
        <w:gridCol w:w="1267"/>
      </w:tblGrid>
      <w:tr>
        <w:tblPrEx/>
        <w:trPr>
          <w:tblHeader/>
        </w:trPr>
        <w:tc>
          <w:tcPr>
            <w:shd w:val="clear" w:color="auto" w:fill="ffffff"/>
            <w:tcW w:w="61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№ п/п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91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Наименование показателя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Уровень показателя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38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Единица измерения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(по ОКЕИ)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gridSpan w:val="11"/>
            <w:shd w:val="clear" w:color="auto" w:fill="ffffff"/>
            <w:tcW w:w="7456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vertAlign w:val="superscript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Плановые значения по кварталам/месяцам</w:t>
            </w:r>
            <w:r>
              <w:rPr>
                <w:rFonts w:eastAsia="Calibri"/>
                <w:sz w:val="20"/>
                <w:szCs w:val="20"/>
                <w:vertAlign w:val="superscript"/>
                <w:lang w:val="ru-RU"/>
              </w:rPr>
            </w:r>
            <w:r>
              <w:rPr>
                <w:rFonts w:eastAsia="Calibri"/>
                <w:sz w:val="20"/>
                <w:szCs w:val="20"/>
                <w:vertAlign w:val="superscript"/>
                <w:lang w:val="ru-RU"/>
              </w:rPr>
            </w:r>
          </w:p>
        </w:tc>
        <w:tc>
          <w:tcPr>
            <w:shd w:val="clear" w:color="auto" w:fill="ffffff"/>
            <w:tcW w:w="126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На конец 2025 года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fff"/>
            <w:tcW w:w="61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91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2" w:type="dxa"/>
            <w:vMerge w:val="continue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385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янв.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фев.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март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апр.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май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июнь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июль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авг.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сен.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окт.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ноя.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6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fff"/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9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7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8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12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gridSpan w:val="15"/>
            <w:shd w:val="clear" w:color="auto" w:fill="ffffff"/>
            <w:tcW w:w="14648" w:type="dxa"/>
            <w:vAlign w:val="center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Задача 1. «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Обеспечение деятельности(оказание услуг) муниципальными учреждениями (организациями)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»  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1.1.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«ГП»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61,3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61,6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62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1.2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98,8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57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28,3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 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91,9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1.7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«ГП»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65,9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1.8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51,5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51,8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52,1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52,4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1.9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918" w:type="dxa"/>
            <w:vAlign w:val="center"/>
            <w:textDirection w:val="lrTb"/>
            <w:noWrap/>
          </w:tcPr>
          <w:p>
            <w:pPr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ежегодного достижения показателей муниципальной программы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ВДЛ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95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gridSpan w:val="16"/>
            <w:shd w:val="clear" w:color="auto" w:fill="ffffff"/>
            <w:tcW w:w="1526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Задача 2. 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«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Мероприятия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»  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2.1.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«ГП»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61,3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61,6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62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2.2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детей и молодежи;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98,8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57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28,3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 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91,9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2.7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«ГП»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65,9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2.8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51,5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51,8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52,1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52,4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2.9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918" w:type="dxa"/>
            <w:vAlign w:val="center"/>
            <w:textDirection w:val="lrTb"/>
            <w:noWrap/>
          </w:tcPr>
          <w:p>
            <w:pPr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на территории района и принятого участия в спортивных мероприятиях за пределами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2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ВДЛ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Единиц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250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</w:tbl>
    <w:p>
      <w:pPr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</w:r>
      <w:r>
        <w:rPr>
          <w:rFonts w:eastAsia="Calibri"/>
          <w:bCs/>
          <w:sz w:val="22"/>
          <w:szCs w:val="22"/>
          <w:lang w:val="ru-RU"/>
        </w:rPr>
      </w:r>
      <w:r>
        <w:rPr>
          <w:rFonts w:eastAsia="Calibri"/>
          <w:bCs/>
          <w:sz w:val="22"/>
          <w:szCs w:val="22"/>
          <w:lang w:val="ru-RU"/>
        </w:rPr>
      </w:r>
    </w:p>
    <w:p>
      <w:pPr>
        <w:contextualSpacing/>
        <w:jc w:val="center"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contextualSpacing/>
        <w:jc w:val="center"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contextualSpacing/>
        <w:jc w:val="center"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contextualSpacing/>
        <w:jc w:val="center"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pStyle w:val="1029"/>
        <w:numPr>
          <w:ilvl w:val="1"/>
          <w:numId w:val="7"/>
        </w:numPr>
        <w:contextualSpacing/>
        <w:jc w:val="center"/>
        <w:rPr>
          <w:rFonts w:eastAsia="Calibri"/>
        </w:rPr>
        <w:outlineLvl w:val="3"/>
      </w:pPr>
      <w:r>
        <w:rPr>
          <w:rFonts w:eastAsia="Calibri"/>
        </w:rPr>
        <w:t xml:space="preserve">Перечень мероприятий (результатов) комплекса процессных мероприятий 2.</w:t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tbl>
      <w:tblPr>
        <w:tblStyle w:val="1039"/>
        <w:tblW w:w="15385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4901"/>
        <w:gridCol w:w="1502"/>
        <w:gridCol w:w="1164"/>
        <w:gridCol w:w="931"/>
        <w:gridCol w:w="835"/>
        <w:gridCol w:w="507"/>
        <w:gridCol w:w="730"/>
        <w:gridCol w:w="749"/>
        <w:gridCol w:w="750"/>
        <w:gridCol w:w="752"/>
        <w:gridCol w:w="841"/>
        <w:gridCol w:w="1274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9" w:type="dxa"/>
            <w:vAlign w:val="center"/>
            <w:vMerge w:val="restart"/>
            <w:textDirection w:val="lrTb"/>
            <w:noWrap/>
          </w:tcPr>
          <w:p>
            <w:pPr>
              <w:ind w:left="1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п/п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мероприятия</w:t>
            </w: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 xml:space="preserve">результата</w:t>
            </w:r>
            <w:r>
              <w:rPr>
                <w:bCs/>
                <w:sz w:val="20"/>
                <w:szCs w:val="20"/>
              </w:rPr>
              <w:t xml:space="preserve">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02" w:type="dxa"/>
            <w:vAlign w:val="center"/>
            <w:vMerge w:val="restart"/>
            <w:textDirection w:val="lrTb"/>
            <w:noWrap/>
          </w:tcPr>
          <w:p>
            <w:pPr>
              <w:ind w:left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Тип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мероприятия</w:t>
            </w: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 xml:space="preserve">результата</w:t>
            </w:r>
            <w:r>
              <w:rPr>
                <w:bCs/>
                <w:sz w:val="20"/>
                <w:szCs w:val="20"/>
              </w:rPr>
              <w:t xml:space="preserve">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Единица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измерения</w:t>
            </w: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 xml:space="preserve">по</w:t>
            </w:r>
            <w:r>
              <w:rPr>
                <w:bCs/>
                <w:sz w:val="20"/>
                <w:szCs w:val="20"/>
              </w:rPr>
              <w:t xml:space="preserve"> ОКЕИ)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66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Базовое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значение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9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Значения мероприятия (результата), </w:t>
            </w:r>
            <w:r>
              <w:rPr>
                <w:sz w:val="20"/>
                <w:szCs w:val="20"/>
                <w:lang w:val="ru-RU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0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W w:w="931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значение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W w:w="835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год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/>
          </w:tcPr>
          <w:p>
            <w:pPr>
              <w:ind w:left="4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30" w:type="dxa"/>
            <w:vAlign w:val="center"/>
            <w:textDirection w:val="lrTb"/>
            <w:noWrap/>
          </w:tcPr>
          <w:p>
            <w:pPr>
              <w:ind w:left="4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9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52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2029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/>
          </w:tcPr>
          <w:p>
            <w:pPr>
              <w:ind w:left="17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2030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/>
          </w:tcPr>
          <w:p>
            <w:pPr>
              <w:ind w:left="17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901" w:type="dxa"/>
            <w:vAlign w:val="center"/>
            <w:textDirection w:val="lrTb"/>
            <w:noWrap/>
          </w:tcPr>
          <w:p>
            <w:pPr>
              <w:ind w:left="4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" w:type="dxa"/>
            <w:vAlign w:val="center"/>
            <w:textDirection w:val="lrTb"/>
            <w:noWrap/>
          </w:tcPr>
          <w:p>
            <w:pPr>
              <w:ind w:left="10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1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835" w:type="dxa"/>
            <w:vAlign w:val="center"/>
            <w:textDirection w:val="lrTb"/>
            <w:noWrap/>
          </w:tcPr>
          <w:p>
            <w:pPr>
              <w:ind w:left="8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textDirection w:val="lrTb"/>
            <w:noWrap/>
          </w:tcPr>
          <w:p>
            <w:pPr>
              <w:ind w:left="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6" w:type="dxa"/>
            <w:textDirection w:val="lrTb"/>
            <w:noWrap/>
          </w:tcPr>
          <w:p>
            <w:pPr>
              <w:ind w:left="41"/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 1.  «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Обеспечение деятельности(оказание услуг) муниципальными учреждениями (организациями)</w:t>
            </w:r>
            <w:r>
              <w:rPr>
                <w:bCs/>
                <w:i/>
                <w:sz w:val="20"/>
                <w:szCs w:val="20"/>
                <w:lang w:val="ru-RU"/>
              </w:rPr>
            </w:r>
            <w:r>
              <w:rPr>
                <w:bCs/>
                <w:i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6" w:type="dxa"/>
            <w:vAlign w:val="center"/>
            <w:textDirection w:val="lrTb"/>
            <w:noWrap/>
          </w:tcPr>
          <w:p>
            <w:pPr>
              <w:ind w:left="41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 (результат) «Обеспечение финансирования содержания</w:t>
            </w:r>
            <w:r>
              <w:rPr>
                <w:rFonts w:eastAsia="Calibri"/>
                <w:bCs/>
                <w:sz w:val="20"/>
                <w:lang w:val="ru-RU"/>
              </w:rPr>
              <w:t xml:space="preserve">,</w:t>
            </w:r>
            <w:r>
              <w:rPr>
                <w:sz w:val="20"/>
                <w:szCs w:val="20"/>
                <w:lang w:val="ru-RU"/>
              </w:rPr>
              <w:t xml:space="preserve"> в части осуществления выплат по оплате труда сотрудников, компенсации командировочных расходов и прочих расходов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6" w:type="dxa"/>
            <w:vAlign w:val="center"/>
            <w:textDirection w:val="lrTb"/>
            <w:noWrap/>
          </w:tcPr>
          <w:p>
            <w:pPr>
              <w:ind w:left="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Задача 2. </w:t>
            </w:r>
            <w:r>
              <w:rPr>
                <w:rFonts w:eastAsia="Arial Unicode MS"/>
                <w:bCs/>
                <w:sz w:val="20"/>
                <w:szCs w:val="20"/>
                <w:lang w:val="ru-RU"/>
              </w:rPr>
              <w:t xml:space="preserve">«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Мероприятия</w:t>
            </w:r>
            <w:r>
              <w:rPr>
                <w:rFonts w:eastAsia="Arial Unicode MS"/>
                <w:bCs/>
                <w:sz w:val="20"/>
                <w:szCs w:val="20"/>
                <w:lang w:val="ru-RU"/>
              </w:rPr>
              <w:t xml:space="preserve">»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2.1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left="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6" w:type="dxa"/>
            <w:vAlign w:val="center"/>
            <w:textDirection w:val="lrTb"/>
            <w:noWrap/>
          </w:tcPr>
          <w:p>
            <w:pPr>
              <w:ind w:left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 (результат) «Обеспечение финансирования содержания, компенсации командировочных расходов и прочих расходов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</w:tbl>
    <w:p>
      <w:pPr>
        <w:contextualSpacing/>
        <w:jc w:val="center"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pStyle w:val="1029"/>
        <w:numPr>
          <w:ilvl w:val="1"/>
          <w:numId w:val="7"/>
        </w:numPr>
        <w:contextualSpacing/>
        <w:jc w:val="center"/>
        <w:rPr>
          <w:rFonts w:eastAsia="Calibri"/>
        </w:rPr>
        <w:outlineLvl w:val="3"/>
      </w:pPr>
      <w:r>
        <w:rPr>
          <w:rFonts w:eastAsia="Calibri"/>
        </w:rPr>
        <w:t xml:space="preserve">Финансовое обеспечение комплекса процессных мероприятий 2.</w:t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tbl>
      <w:tblPr>
        <w:tblStyle w:val="1037"/>
        <w:tblW w:w="4939" w:type="pct"/>
        <w:tblInd w:w="-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05"/>
        <w:gridCol w:w="2202"/>
        <w:gridCol w:w="567"/>
        <w:gridCol w:w="525"/>
        <w:gridCol w:w="525"/>
        <w:gridCol w:w="524"/>
        <w:gridCol w:w="583"/>
        <w:gridCol w:w="538"/>
        <w:gridCol w:w="645"/>
      </w:tblGrid>
      <w:tr>
        <w:tblPrEx/>
        <w:trPr>
          <w:trHeight w:val="20"/>
          <w:tblHeader/>
        </w:trPr>
        <w:tc>
          <w:tcPr>
            <w:tcW w:w="1510" w:type="pct"/>
            <w:vAlign w:val="center"/>
            <w:vMerge w:val="restart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43" w:type="pct"/>
            <w:vMerge w:val="restart"/>
            <w:textDirection w:val="lrTb"/>
            <w:noWrap/>
          </w:tcPr>
          <w:p>
            <w:pPr>
              <w:ind w:firstLine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Код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бюджетной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классификации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gridSpan w:val="7"/>
            <w:tcW w:w="3047" w:type="pct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Объем финансового обеспечения по годам, тыс. рублей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1510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43" w:type="pct"/>
            <w:vMerge w:val="continue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2025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2026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2027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2028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2029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434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2030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45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Всего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1510" w:type="pct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443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3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4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43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45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vAlign w:val="center"/>
            <w:textDirection w:val="lrTb"/>
            <w:noWrap/>
          </w:tcPr>
          <w:p>
            <w:pPr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Комплекс процессных мероприятий 2. «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 Обеспечение функций управления в сфере физической культуры и спорта 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(всего), в том числе: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</w:r>
          </w:p>
        </w:tc>
        <w:tc>
          <w:tcPr>
            <w:tcW w:w="44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054 02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6000,32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4947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43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45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32203,32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vAlign w:val="center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межбюджетные трансферты из федерального бюджета (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4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34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54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vAlign w:val="center"/>
            <w:textDirection w:val="lrTb"/>
            <w:noWrap/>
          </w:tcPr>
          <w:p>
            <w:pPr>
              <w:jc w:val="both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межбюджетные трансферты из областного бюджета (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)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tcW w:w="44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34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54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средства районного бюджета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4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6000,32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4947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3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5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32203,32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внебюджетные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44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34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54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vAlign w:val="center"/>
            <w:textDirection w:val="lrTb"/>
            <w:noWrap/>
          </w:tcPr>
          <w:p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2.1 .«Обеспечение деятельности (оказание услуг) муниципальных учреждений (организаций)» 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всего, в том числе:</w:t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44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0540200590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6000,32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4947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43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45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32203,32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vAlign w:val="center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межбюджетные трансферты из федерального бюджета (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4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3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5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vAlign w:val="center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межбюджетные трансферты из областного бюджета (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4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34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454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средства районного бюджета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44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874 1102 0540200590 100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874 1102 0540200590 200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874 1102 0540200590 800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4973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4947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2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3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5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32346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внебюджетные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источники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44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3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5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2.2 «Мероприятия»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443" w:type="pct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054022990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1027,32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3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5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1027,32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textDirection w:val="lrTb"/>
            <w:noWrap/>
          </w:tcPr>
          <w:p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44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3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5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</w:t>
            </w:r>
            <w:r>
              <w:rPr>
                <w:sz w:val="20"/>
                <w:szCs w:val="20"/>
                <w:lang w:val="ru-RU"/>
              </w:rPr>
              <w:t xml:space="preserve">справочно</w:t>
            </w:r>
            <w:r>
              <w:rPr>
                <w:sz w:val="20"/>
                <w:szCs w:val="20"/>
                <w:lang w:val="ru-RU"/>
              </w:rPr>
              <w:t xml:space="preserve">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4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3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5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средстварайонногобюджета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4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874 1102 054022990 100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874 1102 054022990 200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1027,32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3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5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1027,32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510" w:type="pc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4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2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3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45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</w:tbl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contextualSpacing/>
        <w:jc w:val="center"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  <w:t xml:space="preserve">6. План реализации комплекса процессных мероприятий 2.</w:t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tbl>
      <w:tblPr>
        <w:tblStyle w:val="1039"/>
        <w:tblW w:w="15474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5090"/>
        <w:gridCol w:w="2166"/>
        <w:gridCol w:w="3683"/>
        <w:gridCol w:w="3790"/>
      </w:tblGrid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п/п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0" w:type="dxa"/>
            <w:vAlign w:val="center"/>
            <w:textDirection w:val="lrTb"/>
            <w:noWrap/>
          </w:tcPr>
          <w:p>
            <w:pPr>
              <w:ind w:left="8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Задача, мероприятие (результат) /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  <w:p>
            <w:pPr>
              <w:ind w:left="8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vAlign w:val="center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Дата наступления контрольной точки (</w:t>
            </w:r>
            <w:r>
              <w:rPr>
                <w:bCs/>
                <w:sz w:val="20"/>
                <w:szCs w:val="20"/>
                <w:lang w:val="ru-RU"/>
              </w:rPr>
              <w:t xml:space="preserve">день.месяц</w:t>
            </w:r>
            <w:r>
              <w:rPr>
                <w:bCs/>
                <w:sz w:val="20"/>
                <w:szCs w:val="20"/>
                <w:lang w:val="ru-RU"/>
              </w:rPr>
              <w:t xml:space="preserve">)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Ответственный исполнитель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left="173" w:right="158"/>
              <w:jc w:val="center"/>
              <w:widowControl w:val="off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(Ф.И.О., должность, наименование подразделения, организации)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Вид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подтверждающего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документа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0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29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 1.  «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Обеспечение деятельности(оказание услуг) муниципальными учреждениями (организациями)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1.1.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0" w:type="dxa"/>
            <w:textDirection w:val="lrTb"/>
            <w:noWrap/>
          </w:tcPr>
          <w:p>
            <w:pPr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Мероприятие (результат)</w:t>
            </w:r>
            <w:r>
              <w:rPr>
                <w:sz w:val="20"/>
                <w:szCs w:val="20"/>
                <w:lang w:val="ru-RU"/>
              </w:rPr>
              <w:t xml:space="preserve">«Обеспечение финансирования содержания </w:t>
            </w: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</w:t>
            </w:r>
            <w:r>
              <w:rPr>
                <w:rFonts w:eastAsia="Calibri"/>
                <w:bCs/>
                <w:sz w:val="20"/>
                <w:lang w:val="ru-RU"/>
              </w:rPr>
              <w:t xml:space="preserve">района»,</w:t>
            </w:r>
            <w:r>
              <w:rPr>
                <w:sz w:val="20"/>
                <w:szCs w:val="20"/>
                <w:lang w:val="ru-RU"/>
              </w:rPr>
              <w:t xml:space="preserve">в</w:t>
            </w:r>
            <w:r>
              <w:rPr>
                <w:sz w:val="20"/>
                <w:szCs w:val="20"/>
                <w:lang w:val="ru-RU"/>
              </w:rPr>
              <w:t xml:space="preserve"> части осуществления выплат по оплате труда сотрудников, компенсации командировочных расходов и прочих расходов</w:t>
            </w:r>
            <w:r>
              <w:rPr>
                <w:bCs/>
                <w:i/>
                <w:sz w:val="20"/>
                <w:szCs w:val="20"/>
                <w:lang w:val="ru-RU"/>
              </w:rPr>
            </w:r>
            <w:r>
              <w:rPr>
                <w:bCs/>
                <w:i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Останков Д.А.. – Начальник МКУ «</w:t>
            </w:r>
            <w:r>
              <w:rPr>
                <w:bCs/>
                <w:sz w:val="20"/>
                <w:szCs w:val="20"/>
                <w:lang w:val="ru-RU"/>
              </w:rPr>
              <w:t xml:space="preserve">УФКиС</w:t>
            </w:r>
            <w:r>
              <w:rPr>
                <w:bCs/>
                <w:sz w:val="20"/>
                <w:szCs w:val="20"/>
                <w:lang w:val="ru-RU"/>
              </w:rPr>
              <w:t xml:space="preserve"> администрации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textDirection w:val="lrTb"/>
            <w:noWrap/>
          </w:tcPr>
          <w:p>
            <w:pPr>
              <w:jc w:val="center"/>
              <w:rPr>
                <w:bCs/>
                <w:strike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trike/>
                <w:sz w:val="20"/>
                <w:szCs w:val="20"/>
              </w:rPr>
            </w:r>
            <w:r>
              <w:rPr>
                <w:bCs/>
                <w:strike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1.1.1.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0" w:type="dxa"/>
            <w:textDirection w:val="lrTb"/>
            <w:noWrap/>
          </w:tcPr>
          <w:p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</w:t>
            </w:r>
            <w:r>
              <w:rPr>
                <w:sz w:val="20"/>
                <w:szCs w:val="20"/>
                <w:lang w:val="ru-RU"/>
              </w:rPr>
              <w:t xml:space="preserve">«Обеспечено финансирование содержания </w:t>
            </w: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sz w:val="20"/>
                <w:szCs w:val="20"/>
                <w:lang w:val="ru-RU"/>
              </w:rPr>
              <w:t xml:space="preserve"> в части осуществления выплат по оплате труда сотрудников, компенсации командировочных расходов и прочих расходов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31.03.2026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Останков Д.А.. – Начальник МКУ «</w:t>
            </w:r>
            <w:r>
              <w:rPr>
                <w:bCs/>
                <w:sz w:val="20"/>
                <w:szCs w:val="20"/>
                <w:lang w:val="ru-RU"/>
              </w:rPr>
              <w:t xml:space="preserve">УФКиС</w:t>
            </w:r>
            <w:r>
              <w:rPr>
                <w:bCs/>
                <w:sz w:val="20"/>
                <w:szCs w:val="20"/>
                <w:lang w:val="ru-RU"/>
              </w:rPr>
              <w:t xml:space="preserve"> администрации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Отчет об исполнении бюджета за 2025 год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29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Задача 2. </w:t>
            </w:r>
            <w:r>
              <w:rPr>
                <w:rFonts w:eastAsia="Arial Unicode MS"/>
                <w:bCs/>
                <w:sz w:val="20"/>
                <w:szCs w:val="20"/>
                <w:lang w:val="ru-RU"/>
              </w:rPr>
              <w:t xml:space="preserve">«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Мероприятия</w:t>
            </w:r>
            <w:r>
              <w:rPr>
                <w:rFonts w:eastAsia="Arial Unicode MS"/>
                <w:bCs/>
                <w:sz w:val="20"/>
                <w:szCs w:val="20"/>
                <w:lang w:val="ru-RU"/>
              </w:rPr>
              <w:t xml:space="preserve">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2.1.</w:t>
            </w: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0" w:type="dxa"/>
            <w:textDirection w:val="lrTb"/>
            <w:noWrap/>
          </w:tcPr>
          <w:p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Мероприятие (результат)</w:t>
            </w:r>
            <w:r>
              <w:rPr>
                <w:sz w:val="20"/>
                <w:szCs w:val="20"/>
                <w:lang w:val="ru-RU"/>
              </w:rPr>
              <w:t xml:space="preserve">«Обеспечение финансирования содержания в части осуществления выплат компенсации командировочных расходов и прочих расходов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Останков Д.А.. – Начальник МКУ «</w:t>
            </w:r>
            <w:r>
              <w:rPr>
                <w:bCs/>
                <w:sz w:val="20"/>
                <w:szCs w:val="20"/>
                <w:lang w:val="ru-RU"/>
              </w:rPr>
              <w:t xml:space="preserve">УФКиС</w:t>
            </w:r>
            <w:r>
              <w:rPr>
                <w:bCs/>
                <w:sz w:val="20"/>
                <w:szCs w:val="20"/>
                <w:lang w:val="ru-RU"/>
              </w:rPr>
              <w:t xml:space="preserve"> администрации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0" w:type="dxa"/>
            <w:textDirection w:val="lrTb"/>
            <w:noWrap/>
          </w:tcPr>
          <w:p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</w:t>
            </w:r>
            <w:r>
              <w:rPr>
                <w:sz w:val="20"/>
                <w:szCs w:val="20"/>
                <w:lang w:val="ru-RU"/>
              </w:rPr>
              <w:t xml:space="preserve">«Обеспечено финансирование содержания </w:t>
            </w: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</w:t>
            </w:r>
            <w:r>
              <w:rPr>
                <w:rFonts w:eastAsia="Calibri"/>
                <w:bCs/>
                <w:sz w:val="20"/>
                <w:lang w:val="ru-RU"/>
              </w:rPr>
              <w:t xml:space="preserve">спорта администрации Красногвардейского района»,</w:t>
            </w:r>
            <w:r>
              <w:rPr>
                <w:sz w:val="20"/>
                <w:szCs w:val="20"/>
                <w:lang w:val="ru-RU"/>
              </w:rPr>
              <w:t xml:space="preserve"> в части осуществления выплат, компенсации командировочных расходов и прочих расходов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31.03.2026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Останков Д.А.. – Начальник МКУ «</w:t>
            </w:r>
            <w:r>
              <w:rPr>
                <w:bCs/>
                <w:sz w:val="20"/>
                <w:szCs w:val="20"/>
                <w:lang w:val="ru-RU"/>
              </w:rPr>
              <w:t xml:space="preserve">УФКиС</w:t>
            </w:r>
            <w:r>
              <w:rPr>
                <w:bCs/>
                <w:sz w:val="20"/>
                <w:szCs w:val="20"/>
                <w:lang w:val="ru-RU"/>
              </w:rPr>
              <w:t xml:space="preserve"> администрации </w:t>
            </w:r>
            <w:r>
              <w:rPr>
                <w:bCs/>
                <w:sz w:val="20"/>
                <w:szCs w:val="20"/>
                <w:lang w:val="ru-RU"/>
              </w:rPr>
              <w:t xml:space="preserve">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Отчет об исполнении бюджета за 2025 год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</w:tbl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9889"/>
        <w:gridCol w:w="5245"/>
      </w:tblGrid>
      <w:tr>
        <w:tblPrEx/>
        <w:trPr>
          <w:trHeight w:val="415"/>
        </w:trPr>
        <w:tc>
          <w:tcPr>
            <w:shd w:val="clear" w:color="auto" w:fill="auto"/>
            <w:tcW w:w="9889" w:type="dxa"/>
            <w:textDirection w:val="lrTb"/>
            <w:noWrap/>
          </w:tcPr>
          <w:p>
            <w:pPr>
              <w:shd w:val="clear" w:color="auto" w:fill="ffffff"/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pPr>
            <w:r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r>
            <w:r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r>
            <w:r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r>
          </w:p>
        </w:tc>
        <w:tc>
          <w:tcPr>
            <w:shd w:val="clear" w:color="auto" w:fill="ffffff"/>
            <w:tcW w:w="5245" w:type="dxa"/>
            <w:textDirection w:val="lrTb"/>
            <w:noWrap/>
          </w:tcPr>
          <w:p>
            <w:pPr>
              <w:jc w:val="center"/>
              <w:shd w:val="clear" w:color="auto" w:fill="ffffff"/>
              <w:widowControl w:val="off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 xml:space="preserve">Приложение № 4</w:t>
            </w:r>
            <w:r>
              <w:rPr>
                <w:b/>
                <w:sz w:val="26"/>
                <w:szCs w:val="26"/>
                <w:lang w:val="ru-RU" w:eastAsia="ru-RU"/>
              </w:rPr>
            </w:r>
            <w:r>
              <w:rPr>
                <w:b/>
                <w:sz w:val="26"/>
                <w:szCs w:val="26"/>
                <w:lang w:val="ru-RU" w:eastAsia="ru-RU"/>
              </w:rPr>
            </w:r>
          </w:p>
          <w:p>
            <w:pPr>
              <w:jc w:val="center"/>
              <w:shd w:val="clear" w:color="auto" w:fill="ffffff"/>
              <w:widowControl w:val="off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</w:r>
            <w:r>
              <w:rPr>
                <w:sz w:val="26"/>
                <w:szCs w:val="26"/>
                <w:lang w:val="ru-RU" w:eastAsia="ru-RU"/>
              </w:rPr>
            </w:r>
            <w:r>
              <w:rPr>
                <w:sz w:val="26"/>
                <w:szCs w:val="26"/>
                <w:lang w:val="ru-RU" w:eastAsia="ru-RU"/>
              </w:rPr>
            </w:r>
          </w:p>
        </w:tc>
      </w:tr>
    </w:tbl>
    <w:p>
      <w:pPr>
        <w:jc w:val="center"/>
        <w:keepLines/>
        <w:keepNext/>
        <w:rPr>
          <w:rFonts w:eastAsiaTheme="majorEastAsia"/>
          <w:b/>
          <w:sz w:val="22"/>
          <w:szCs w:val="22"/>
          <w:lang w:val="ru-RU"/>
        </w:rPr>
        <w:outlineLvl w:val="1"/>
      </w:pPr>
      <w:r>
        <w:rPr>
          <w:rFonts w:eastAsiaTheme="majorEastAsia"/>
          <w:b/>
          <w:sz w:val="22"/>
          <w:szCs w:val="22"/>
          <w:lang w:val="ru-RU"/>
        </w:rPr>
        <w:t xml:space="preserve">Сведения о порядке сбора информации и методике расчета показателя муниципальной программы </w:t>
      </w:r>
      <w:r>
        <w:rPr>
          <w:rFonts w:eastAsiaTheme="majorEastAsia"/>
          <w:b/>
          <w:sz w:val="22"/>
          <w:szCs w:val="22"/>
          <w:lang w:val="ru-RU"/>
        </w:rPr>
      </w:r>
      <w:r>
        <w:rPr>
          <w:rFonts w:eastAsiaTheme="majorEastAsia"/>
          <w:b/>
          <w:sz w:val="22"/>
          <w:szCs w:val="22"/>
          <w:lang w:val="ru-RU"/>
        </w:rPr>
      </w:r>
    </w:p>
    <w:p>
      <w:pPr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tbl>
      <w:tblPr>
        <w:tblW w:w="1608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9"/>
        <w:gridCol w:w="1466"/>
        <w:gridCol w:w="1134"/>
        <w:gridCol w:w="1276"/>
        <w:gridCol w:w="1559"/>
        <w:gridCol w:w="1843"/>
        <w:gridCol w:w="1701"/>
        <w:gridCol w:w="1134"/>
        <w:gridCol w:w="1559"/>
        <w:gridCol w:w="1560"/>
        <w:gridCol w:w="1134"/>
        <w:gridCol w:w="1275"/>
      </w:tblGrid>
      <w:tr>
        <w:tblPrEx/>
        <w:trPr>
          <w:trHeight w:val="13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№ п/п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Наименование показателя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Единица измерения 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(по ОКЕИ)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Определение показателя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Временные характеристики показателя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Алгоритм формирования (формула) и методологические пояснения к показателю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Базовые показатели (используемые в формуле)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Метод сбора информации, индекс</w:t>
            </w:r>
            <w:r>
              <w:rPr>
                <w:rFonts w:eastAsia="Calibri"/>
                <w:sz w:val="20"/>
                <w:szCs w:val="20"/>
                <w:lang w:val="ru-RU"/>
              </w:rPr>
              <w:br/>
              <w:t xml:space="preserve">формы</w:t>
            </w:r>
            <w:r>
              <w:rPr>
                <w:rFonts w:eastAsia="Calibri"/>
                <w:sz w:val="20"/>
                <w:szCs w:val="20"/>
                <w:lang w:val="ru-RU"/>
              </w:rPr>
              <w:br/>
              <w:t xml:space="preserve">отчетности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vertAlign w:val="superscript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Пункт Федерального плана статистических работ</w:t>
            </w:r>
            <w:r>
              <w:rPr>
                <w:rFonts w:eastAsia="Calibri"/>
                <w:sz w:val="20"/>
                <w:szCs w:val="20"/>
                <w:vertAlign w:val="superscript"/>
                <w:lang w:val="ru-RU"/>
              </w:rPr>
            </w:r>
            <w:r>
              <w:rPr>
                <w:rFonts w:eastAsia="Calibri"/>
                <w:sz w:val="20"/>
                <w:szCs w:val="20"/>
                <w:vertAlign w:val="superscript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Ответственный за сбор данных по показателю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Реквизиты акта (при наличии)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Срок представления годовой отчетной информации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7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8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12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района в возрасте от 3 до 79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Отражает долю граждан трудоспособного возраста, систематически занимающихся физической культурой и спортом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Дз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= 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Чз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/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Чн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*100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Чз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- численность занимающихся физической культурой и спортом  в соответствии с данными федерального статистического наблюдения по форме 1-ФК «Сведения о физической культуре и спорте», чел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Росстата от 23.06.2023г. № 303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vMerge w:val="continue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dxa"/>
            <w:vAlign w:val="center"/>
            <w:vMerge w:val="continue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Базовый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показатель 2Чн- численность населения, человек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Периодичес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кая отчетность. Данные Федеральной службы государственной статистики  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</w:t>
            </w:r>
            <w:r>
              <w:rPr>
                <w:rFonts w:eastAsia="Calibri"/>
                <w:bCs/>
                <w:sz w:val="20"/>
                <w:lang w:val="ru-RU"/>
              </w:rPr>
              <w:t xml:space="preserve">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долю детей и молодежи, систематически занимающихся физической культурой и спортом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Дзд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=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Чздс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/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Чнд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*100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Чздс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- численность населения в возрасте 3-29 лет, занимающегося физической культурой и спортом в организованной форме, человек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Росстата от 23.06.2023г. № 303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continue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Чнд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численность населения в возрасте 3-29 лет по административной информации Федеральной службы государственной статистики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Прочие, оценка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1.8.3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долю граждан среднего возраста, систематически занимающихся физической культурой и спортом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Дзс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=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Чзсс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/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Чнс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*100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Чзсс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- численность населения в возрасте: женщины 30-54 года, мужчины   30-59 лет, занимающегося физической культурой и спортом в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организованной форме, человек (по состоянию на начало отчетного года)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Росстата от 23.06.2023г. № 303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continue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Чнс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- численность населения в возрасте: женщины 30-54 года, мужчины   30-59 лет,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Прочие, оценка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1.8.3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долю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Дзп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=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Чзпс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/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Чнп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*100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Чзпс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- численность населения в возрасте: женщины 55-79 года, мужчины   60-79 лет, занимающегося физической культурой и спортом в организованной форме, человек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Росстата от 23.06.2023г. № 303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continue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Чнп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- численность населения в возрасте: женщины 55-79 года, мужчины   60-79 лет по административной информации Федеральной службы государственной статистики, человек (по состоянию на начало отчетного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года)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Прочие, оценка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1.8.3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 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Числовой показатель, характеризующий возможность одновременного удовлетворения потребности в физкультурно-оздоровительных услугах определенного числа жителей округа в соответствии с планово-расчетными показателями количества занимающихся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ЕПС=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ЕПСфакт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/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ЕПСнорм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*100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ЕПС факт – единовременная пропускная способность имеющихся спортивных сооружений,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Росстата от 23.06.2023г. № 303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continue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ЕПС норм- нормативная потребность в объектах спортивной инфраструктуры, исходя из единовременной пропускной способности спортивных сооружений,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Прочие. Методические рекомендации о применении нормативов и норм при определении потребности субъектов РФ в объектах физической культуры и спорта, утвержденные приказом Минспорта России от 21.03.2018г. № 244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долю лиц с ограниченны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ми возможностями здоровья и инвалидов, занимающихся физической культурой и спортом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Динв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=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Линв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/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Чинв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*100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Линв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– общее количество лиц с ограниченными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возможностями здоровья и инвалидов, систематически занимающихся физической культурой и спортом, человек (форма 3-АФК)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Ведомственная отчетность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(по состоянию на декабрь отчетного года)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</w:t>
            </w:r>
            <w:r>
              <w:rPr>
                <w:rFonts w:eastAsia="Calibri"/>
                <w:bCs/>
                <w:sz w:val="20"/>
                <w:lang w:val="ru-RU"/>
              </w:rPr>
              <w:t xml:space="preserve">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 марта года, следующего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continue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Чинв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– общая численность населения Красногвардейского района, относящегося к категории инвалидов и лиц с ограниченными возможностями,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Краткий статистический сборник «Белгородская область в цифрах» </w:t>
            </w:r>
            <w:r>
              <w:rPr>
                <w:rFonts w:eastAsia="Calibri"/>
                <w:sz w:val="20"/>
                <w:szCs w:val="20"/>
              </w:rPr>
              <w:t xml:space="preserve">belg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  <w:t xml:space="preserve">gks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  <w:t xml:space="preserve">ru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 марта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долю граждан трудоспособного возраста, систематически занимающегося физической культурой и спортом в общей  численности трудоспособного населения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Дзт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=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Чзт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/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Чнт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*100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Чзт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- численность населения трудоспособного возраста, систематически занимающегося физической культурой и спортом,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Росстата от 23.06.2023г. № 303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continue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Чнт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- численность трудоспособного населения по административной информации Федеральной службы государственной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статистики,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Прочие. Методические рекомендации о применении нормативов и норм при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определении потребности субъектов РФ в объектах физической культуры и спорта, утвержденные приказом Минспорта России от 21.03.2018г. № 244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8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долю сельского населения, систематически занимающегося физической культурой и спортом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Дсз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=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ЧзанФК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/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Чсн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*100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ЧзанФК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– численность сельского населения, систематически занимающегося физической культурой и спортом согласно данным Федерального статистического наблюдения по форме 1-ФК,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Росстата от 23.06.2023г. № 303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continue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Чсн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- численность сельского населения,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Краткий статистический сборник «Белгородская область в цифрах» </w:t>
            </w:r>
            <w:r>
              <w:rPr>
                <w:rFonts w:eastAsia="Calibri"/>
                <w:sz w:val="20"/>
                <w:szCs w:val="20"/>
              </w:rPr>
              <w:t xml:space="preserve">belg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  <w:t xml:space="preserve">gks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  <w:t xml:space="preserve">ru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 марта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спортивно-оздоровительного характера, оказываемых </w:t>
            </w:r>
            <w:r>
              <w:rPr>
                <w:bCs/>
                <w:sz w:val="20"/>
                <w:szCs w:val="20"/>
                <w:lang w:val="ru-RU"/>
              </w:rPr>
              <w:t xml:space="preserve">спорта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количество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услуг спортивно-оздоровительного характера, оказываемых </w:t>
            </w:r>
            <w:r>
              <w:rPr>
                <w:bCs/>
                <w:sz w:val="20"/>
                <w:szCs w:val="20"/>
                <w:lang w:val="ru-RU"/>
              </w:rPr>
              <w:t xml:space="preserve">спорта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единиц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6237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Метод подсчета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спорта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Старт»г.Бирюча,МАУ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Ежегодно, на конец года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dxa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количество проведенных спортивных мероприятий и принятого участия в спортивных мероприятиях за пределами округа, единиц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Метод подсчета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СЦсПБ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«Лиман», МАУ «ФОК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Старт»,МАУ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«ФОК «Победа» </w:t>
            </w:r>
            <w:r>
              <w:rPr>
                <w:rFonts w:eastAsia="Calibri"/>
                <w:bCs/>
                <w:sz w:val="20"/>
                <w:lang w:val="ru-RU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МБУ ДО «Спортивная школа Красногвардейского района»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Ежегодно, на конец года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</w:tbl>
    <w:p>
      <w:r/>
      <w:r/>
    </w:p>
    <w:sectPr>
      <w:footnotePr/>
      <w:endnotePr/>
      <w:type w:val="nextPage"/>
      <w:pgSz w:w="16840" w:h="11907" w:orient="landscape"/>
      <w:pgMar w:top="1134" w:right="567" w:bottom="1134" w:left="567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60202020302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<wp:simplePos x="0" y="0"/>
              <wp:positionH relativeFrom="page">
                <wp:posOffset>4046855</wp:posOffset>
              </wp:positionH>
              <wp:positionV relativeFrom="page">
                <wp:posOffset>452120</wp:posOffset>
              </wp:positionV>
              <wp:extent cx="165735" cy="171450"/>
              <wp:effectExtent l="0" t="0" r="0" b="0"/>
              <wp:wrapNone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73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9" w:lineRule="exact"/>
                            <w:rPr>
                              <w:rFonts w:ascii="Consolas"/>
                              <w:sz w:val="23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t xml:space="preserve">7</w:t>
                          </w: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fldChar w:fldCharType="end"/>
                          </w:r>
                          <w:r>
                            <w:rPr>
                              <w:rFonts w:ascii="Consolas"/>
                              <w:sz w:val="23"/>
                            </w:rPr>
                          </w:r>
                          <w:r>
                            <w:rPr>
                              <w:rFonts w:ascii="Consolas"/>
                              <w:sz w:val="23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8.65pt;mso-position-horizontal:absolute;mso-position-vertical-relative:page;margin-top:35.60pt;mso-position-vertical:absolute;width:13.05pt;height:13.5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line="249" w:lineRule="exact"/>
                      <w:rPr>
                        <w:rFonts w:ascii="Consolas"/>
                        <w:sz w:val="23"/>
                      </w:rPr>
                    </w:pPr>
                    <w:r>
                      <w:rPr>
                        <w:rFonts w:ascii="Consolas"/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rFonts w:ascii="Consolas"/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10"/>
                        <w:sz w:val="23"/>
                      </w:rPr>
                      <w:fldChar w:fldCharType="separate"/>
                    </w:r>
                    <w:r>
                      <w:rPr>
                        <w:rFonts w:ascii="Consolas"/>
                        <w:spacing w:val="-10"/>
                        <w:sz w:val="23"/>
                      </w:rPr>
                      <w:t xml:space="preserve">7</w:t>
                    </w:r>
                    <w:r>
                      <w:rPr>
                        <w:rFonts w:ascii="Consolas"/>
                        <w:spacing w:val="-10"/>
                        <w:sz w:val="23"/>
                      </w:rPr>
                      <w:fldChar w:fldCharType="end"/>
                    </w:r>
                    <w:r>
                      <w:rPr>
                        <w:rFonts w:ascii="Consolas"/>
                        <w:sz w:val="23"/>
                      </w:rPr>
                    </w:r>
                    <w:r>
                      <w:rPr>
                        <w:rFonts w:ascii="Consolas"/>
                        <w:sz w:val="23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625485"/>
      <w:docPartObj>
        <w:docPartGallery w:val="Page Numbers (Top of Page)"/>
        <w:docPartUnique w:val="true"/>
      </w:docPartObj>
      <w:rPr/>
    </w:sdtPr>
    <w:sdtContent>
      <w:p>
        <w:pPr>
          <w:pStyle w:val="103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43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625486"/>
      <w:docPartObj>
        <w:docPartGallery w:val="Page Numbers (Top of Page)"/>
        <w:docPartUnique w:val="true"/>
      </w:docPartObj>
      <w:rPr/>
    </w:sdtPr>
    <w:sdtContent>
      <w:p>
        <w:pPr>
          <w:pStyle w:val="103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82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eastAsia="Calibri"/>
        <w:b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9" w:hanging="3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37" w:hanging="1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25" w:hanging="16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0" w:hanging="16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95" w:hanging="16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80" w:hanging="16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65" w:hanging="16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50" w:hanging="16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36" w:hanging="16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" w:hanging="7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8" w:hanging="71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7" w:hanging="71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5" w:hanging="71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4" w:hanging="71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13" w:hanging="71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1" w:hanging="71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0" w:hanging="71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9" w:hanging="7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4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8"/>
  </w:num>
  <w:num w:numId="15">
    <w:abstractNumId w:val="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7">
    <w:name w:val="Heading 1"/>
    <w:basedOn w:val="818"/>
    <w:next w:val="818"/>
    <w:link w:val="8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8">
    <w:name w:val="Heading 2"/>
    <w:basedOn w:val="818"/>
    <w:next w:val="818"/>
    <w:link w:val="8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9">
    <w:name w:val="Heading 3"/>
    <w:basedOn w:val="818"/>
    <w:next w:val="818"/>
    <w:link w:val="8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0">
    <w:name w:val="Heading 4"/>
    <w:basedOn w:val="818"/>
    <w:next w:val="818"/>
    <w:link w:val="8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1">
    <w:name w:val="Heading 5"/>
    <w:basedOn w:val="818"/>
    <w:next w:val="818"/>
    <w:link w:val="8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2">
    <w:name w:val="Heading 6"/>
    <w:basedOn w:val="818"/>
    <w:next w:val="818"/>
    <w:link w:val="8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818"/>
    <w:next w:val="818"/>
    <w:link w:val="8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818"/>
    <w:next w:val="818"/>
    <w:link w:val="8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5">
    <w:name w:val="Heading 9"/>
    <w:basedOn w:val="818"/>
    <w:next w:val="818"/>
    <w:link w:val="8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96">
    <w:name w:val="Header"/>
    <w:basedOn w:val="818"/>
    <w:link w:val="8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97">
    <w:name w:val="Footer"/>
    <w:basedOn w:val="818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98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99">
    <w:name w:val="Plain Table 1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1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table" w:styleId="822" w:customStyle="1">
    <w:name w:val="Таблица простая 11"/>
    <w:basedOn w:val="8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 w:customStyle="1">
    <w:name w:val="Таблица простая 21"/>
    <w:basedOn w:val="8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 w:customStyle="1">
    <w:name w:val="Таблица простая 3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 w:customStyle="1">
    <w:name w:val="Таблица простая 4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Таблица простая 5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 w:customStyle="1">
    <w:name w:val="Таблица-сетка 1 светл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Таблица-сетка 2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3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Таблица-сетка 41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 w:customStyle="1">
    <w:name w:val="Таблица-сетка 5 тем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2" w:customStyle="1">
    <w:name w:val="Таблица-сетка 6 цвет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3" w:customStyle="1">
    <w:name w:val="Таблица-сетка 7 цвет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Список-таблица 1 светлая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Список-таблица 2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6" w:customStyle="1">
    <w:name w:val="Список-таблица 3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Список-таблица 4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Список-таблица 5 тем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Список-таблица 6 цвет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Список-таблица 7 цвет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41" w:customStyle="1">
    <w:name w:val="Заголовок 11"/>
    <w:basedOn w:val="818"/>
    <w:next w:val="818"/>
    <w:link w:val="8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2" w:customStyle="1">
    <w:name w:val="Заголовок 21"/>
    <w:basedOn w:val="818"/>
    <w:next w:val="818"/>
    <w:link w:val="1023"/>
    <w:uiPriority w:val="9"/>
    <w:unhideWhenUsed/>
    <w:qFormat/>
    <w:pPr>
      <w:jc w:val="center"/>
      <w:keepLines/>
      <w:keepNext/>
      <w:spacing w:before="120" w:after="120" w:line="259" w:lineRule="auto"/>
      <w:outlineLvl w:val="1"/>
    </w:pPr>
    <w:rPr>
      <w:rFonts w:eastAsiaTheme="majorEastAsia"/>
      <w:b/>
      <w:sz w:val="28"/>
      <w:szCs w:val="26"/>
      <w:lang w:val="ru-RU"/>
    </w:rPr>
  </w:style>
  <w:style w:type="paragraph" w:styleId="843" w:customStyle="1">
    <w:name w:val="Заголовок 31"/>
    <w:basedOn w:val="818"/>
    <w:next w:val="818"/>
    <w:link w:val="1024"/>
    <w:uiPriority w:val="9"/>
    <w:unhideWhenUsed/>
    <w:qFormat/>
    <w:pPr>
      <w:jc w:val="center"/>
      <w:keepLines/>
      <w:keepNext/>
      <w:spacing w:before="40" w:line="259" w:lineRule="auto"/>
      <w:outlineLvl w:val="2"/>
    </w:pPr>
    <w:rPr>
      <w:b/>
      <w:sz w:val="28"/>
      <w:lang w:val="ru-RU" w:eastAsia="ru-RU"/>
    </w:rPr>
  </w:style>
  <w:style w:type="paragraph" w:styleId="844" w:customStyle="1">
    <w:name w:val="Заголовок 41"/>
    <w:basedOn w:val="1029"/>
    <w:next w:val="818"/>
    <w:link w:val="1025"/>
    <w:uiPriority w:val="9"/>
    <w:unhideWhenUsed/>
    <w:qFormat/>
    <w:pPr>
      <w:contextualSpacing/>
      <w:ind w:left="0" w:firstLine="0"/>
      <w:jc w:val="center"/>
      <w:spacing w:before="120" w:after="120"/>
      <w:widowControl/>
      <w:outlineLvl w:val="3"/>
    </w:pPr>
    <w:rPr>
      <w:rFonts w:eastAsiaTheme="minorHAnsi"/>
    </w:rPr>
  </w:style>
  <w:style w:type="paragraph" w:styleId="845" w:customStyle="1">
    <w:name w:val="Заголовок 51"/>
    <w:basedOn w:val="818"/>
    <w:next w:val="818"/>
    <w:link w:val="8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846" w:customStyle="1">
    <w:name w:val="Заголовок 61"/>
    <w:basedOn w:val="818"/>
    <w:next w:val="818"/>
    <w:link w:val="8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7" w:customStyle="1">
    <w:name w:val="Заголовок 71"/>
    <w:basedOn w:val="818"/>
    <w:next w:val="818"/>
    <w:link w:val="8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8" w:customStyle="1">
    <w:name w:val="Заголовок 81"/>
    <w:basedOn w:val="818"/>
    <w:next w:val="818"/>
    <w:link w:val="8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9" w:customStyle="1">
    <w:name w:val="Заголовок 91"/>
    <w:basedOn w:val="818"/>
    <w:next w:val="818"/>
    <w:link w:val="8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0" w:customStyle="1">
    <w:name w:val="Heading 1 Char"/>
    <w:basedOn w:val="819"/>
    <w:uiPriority w:val="9"/>
    <w:rPr>
      <w:rFonts w:ascii="Arial" w:hAnsi="Arial" w:eastAsia="Arial" w:cs="Arial"/>
      <w:sz w:val="40"/>
      <w:szCs w:val="40"/>
    </w:rPr>
  </w:style>
  <w:style w:type="character" w:styleId="851" w:customStyle="1">
    <w:name w:val="Heading 5 Char"/>
    <w:basedOn w:val="819"/>
    <w:uiPriority w:val="9"/>
    <w:rPr>
      <w:rFonts w:ascii="Arial" w:hAnsi="Arial" w:eastAsia="Arial" w:cs="Arial"/>
      <w:b/>
      <w:bCs/>
      <w:sz w:val="24"/>
      <w:szCs w:val="24"/>
    </w:rPr>
  </w:style>
  <w:style w:type="character" w:styleId="852" w:customStyle="1">
    <w:name w:val="Heading 6 Char"/>
    <w:basedOn w:val="819"/>
    <w:uiPriority w:val="9"/>
    <w:rPr>
      <w:rFonts w:ascii="Arial" w:hAnsi="Arial" w:eastAsia="Arial" w:cs="Arial"/>
      <w:b/>
      <w:bCs/>
      <w:sz w:val="22"/>
      <w:szCs w:val="22"/>
    </w:rPr>
  </w:style>
  <w:style w:type="character" w:styleId="853" w:customStyle="1">
    <w:name w:val="Heading 7 Char"/>
    <w:basedOn w:val="8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4" w:customStyle="1">
    <w:name w:val="Heading 8 Char"/>
    <w:basedOn w:val="819"/>
    <w:uiPriority w:val="9"/>
    <w:rPr>
      <w:rFonts w:ascii="Arial" w:hAnsi="Arial" w:eastAsia="Arial" w:cs="Arial"/>
      <w:i/>
      <w:iCs/>
      <w:sz w:val="22"/>
      <w:szCs w:val="22"/>
    </w:rPr>
  </w:style>
  <w:style w:type="character" w:styleId="855" w:customStyle="1">
    <w:name w:val="Heading 9 Char"/>
    <w:basedOn w:val="819"/>
    <w:uiPriority w:val="9"/>
    <w:rPr>
      <w:rFonts w:ascii="Arial" w:hAnsi="Arial" w:eastAsia="Arial" w:cs="Arial"/>
      <w:i/>
      <w:iCs/>
      <w:sz w:val="21"/>
      <w:szCs w:val="21"/>
    </w:rPr>
  </w:style>
  <w:style w:type="character" w:styleId="856" w:customStyle="1">
    <w:name w:val="Title Char"/>
    <w:basedOn w:val="819"/>
    <w:uiPriority w:val="10"/>
    <w:rPr>
      <w:sz w:val="48"/>
      <w:szCs w:val="48"/>
    </w:rPr>
  </w:style>
  <w:style w:type="character" w:styleId="857" w:customStyle="1">
    <w:name w:val="Subtitle Char"/>
    <w:basedOn w:val="819"/>
    <w:uiPriority w:val="11"/>
    <w:rPr>
      <w:sz w:val="24"/>
      <w:szCs w:val="24"/>
    </w:rPr>
  </w:style>
  <w:style w:type="character" w:styleId="858" w:customStyle="1">
    <w:name w:val="Quote Char"/>
    <w:uiPriority w:val="29"/>
    <w:rPr>
      <w:i/>
    </w:rPr>
  </w:style>
  <w:style w:type="character" w:styleId="859" w:customStyle="1">
    <w:name w:val="Intense Quote Char"/>
    <w:uiPriority w:val="30"/>
    <w:rPr>
      <w:i/>
    </w:rPr>
  </w:style>
  <w:style w:type="character" w:styleId="860" w:customStyle="1">
    <w:name w:val="Endnote Text Char"/>
    <w:uiPriority w:val="99"/>
    <w:rPr>
      <w:sz w:val="20"/>
    </w:rPr>
  </w:style>
  <w:style w:type="character" w:styleId="861" w:customStyle="1">
    <w:name w:val="Заголовок 1 Знак"/>
    <w:basedOn w:val="819"/>
    <w:link w:val="841"/>
    <w:uiPriority w:val="9"/>
    <w:rPr>
      <w:rFonts w:ascii="Arial" w:hAnsi="Arial" w:eastAsia="Arial" w:cs="Arial"/>
      <w:sz w:val="40"/>
      <w:szCs w:val="40"/>
    </w:rPr>
  </w:style>
  <w:style w:type="character" w:styleId="862" w:customStyle="1">
    <w:name w:val="Heading 2 Char"/>
    <w:basedOn w:val="819"/>
    <w:uiPriority w:val="9"/>
    <w:rPr>
      <w:rFonts w:ascii="Arial" w:hAnsi="Arial" w:eastAsia="Arial" w:cs="Arial"/>
      <w:sz w:val="34"/>
    </w:rPr>
  </w:style>
  <w:style w:type="character" w:styleId="863" w:customStyle="1">
    <w:name w:val="Heading 3 Char"/>
    <w:basedOn w:val="819"/>
    <w:uiPriority w:val="9"/>
    <w:rPr>
      <w:rFonts w:ascii="Arial" w:hAnsi="Arial" w:eastAsia="Arial" w:cs="Arial"/>
      <w:sz w:val="30"/>
      <w:szCs w:val="30"/>
    </w:rPr>
  </w:style>
  <w:style w:type="character" w:styleId="864" w:customStyle="1">
    <w:name w:val="Heading 4 Char"/>
    <w:basedOn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865" w:customStyle="1">
    <w:name w:val="Заголовок 5 Знак"/>
    <w:basedOn w:val="819"/>
    <w:link w:val="845"/>
    <w:uiPriority w:val="9"/>
    <w:rPr>
      <w:rFonts w:ascii="Arial" w:hAnsi="Arial" w:eastAsia="Arial" w:cs="Arial"/>
      <w:b/>
      <w:bCs/>
      <w:sz w:val="24"/>
      <w:szCs w:val="24"/>
    </w:rPr>
  </w:style>
  <w:style w:type="character" w:styleId="866" w:customStyle="1">
    <w:name w:val="Заголовок 6 Знак"/>
    <w:basedOn w:val="819"/>
    <w:link w:val="846"/>
    <w:uiPriority w:val="9"/>
    <w:rPr>
      <w:rFonts w:ascii="Arial" w:hAnsi="Arial" w:eastAsia="Arial" w:cs="Arial"/>
      <w:b/>
      <w:bCs/>
      <w:sz w:val="22"/>
      <w:szCs w:val="22"/>
    </w:rPr>
  </w:style>
  <w:style w:type="character" w:styleId="867" w:customStyle="1">
    <w:name w:val="Заголовок 7 Знак"/>
    <w:basedOn w:val="819"/>
    <w:link w:val="8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8" w:customStyle="1">
    <w:name w:val="Заголовок 8 Знак"/>
    <w:basedOn w:val="819"/>
    <w:link w:val="848"/>
    <w:uiPriority w:val="9"/>
    <w:rPr>
      <w:rFonts w:ascii="Arial" w:hAnsi="Arial" w:eastAsia="Arial" w:cs="Arial"/>
      <w:i/>
      <w:iCs/>
      <w:sz w:val="22"/>
      <w:szCs w:val="22"/>
    </w:rPr>
  </w:style>
  <w:style w:type="character" w:styleId="869" w:customStyle="1">
    <w:name w:val="Заголовок 9 Знак"/>
    <w:basedOn w:val="819"/>
    <w:link w:val="849"/>
    <w:uiPriority w:val="9"/>
    <w:rPr>
      <w:rFonts w:ascii="Arial" w:hAnsi="Arial" w:eastAsia="Arial" w:cs="Arial"/>
      <w:i/>
      <w:iCs/>
      <w:sz w:val="21"/>
      <w:szCs w:val="21"/>
    </w:rPr>
  </w:style>
  <w:style w:type="paragraph" w:styleId="870">
    <w:name w:val="Title"/>
    <w:basedOn w:val="818"/>
    <w:next w:val="818"/>
    <w:link w:val="8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1" w:customStyle="1">
    <w:name w:val="Заголовок Знак"/>
    <w:basedOn w:val="819"/>
    <w:link w:val="870"/>
    <w:uiPriority w:val="10"/>
    <w:rPr>
      <w:sz w:val="48"/>
      <w:szCs w:val="48"/>
    </w:rPr>
  </w:style>
  <w:style w:type="paragraph" w:styleId="872">
    <w:name w:val="Subtitle"/>
    <w:basedOn w:val="818"/>
    <w:next w:val="818"/>
    <w:link w:val="873"/>
    <w:uiPriority w:val="11"/>
    <w:qFormat/>
    <w:pPr>
      <w:spacing w:before="200" w:after="200"/>
    </w:pPr>
  </w:style>
  <w:style w:type="character" w:styleId="873" w:customStyle="1">
    <w:name w:val="Подзаголовок Знак"/>
    <w:basedOn w:val="819"/>
    <w:link w:val="872"/>
    <w:uiPriority w:val="11"/>
    <w:rPr>
      <w:sz w:val="24"/>
      <w:szCs w:val="24"/>
    </w:rPr>
  </w:style>
  <w:style w:type="paragraph" w:styleId="874">
    <w:name w:val="Quote"/>
    <w:basedOn w:val="818"/>
    <w:next w:val="818"/>
    <w:link w:val="875"/>
    <w:uiPriority w:val="29"/>
    <w:qFormat/>
    <w:pPr>
      <w:ind w:left="720" w:right="720"/>
    </w:pPr>
    <w:rPr>
      <w:i/>
    </w:rPr>
  </w:style>
  <w:style w:type="character" w:styleId="875" w:customStyle="1">
    <w:name w:val="Цитата 2 Знак"/>
    <w:link w:val="874"/>
    <w:uiPriority w:val="29"/>
    <w:rPr>
      <w:i/>
    </w:rPr>
  </w:style>
  <w:style w:type="paragraph" w:styleId="876">
    <w:name w:val="Intense Quote"/>
    <w:basedOn w:val="818"/>
    <w:next w:val="818"/>
    <w:link w:val="87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7" w:customStyle="1">
    <w:name w:val="Выделенная цитата Знак"/>
    <w:link w:val="876"/>
    <w:uiPriority w:val="30"/>
    <w:rPr>
      <w:i/>
    </w:rPr>
  </w:style>
  <w:style w:type="character" w:styleId="878" w:customStyle="1">
    <w:name w:val="Header Char"/>
    <w:basedOn w:val="819"/>
    <w:uiPriority w:val="99"/>
  </w:style>
  <w:style w:type="character" w:styleId="879" w:customStyle="1">
    <w:name w:val="Footer Char"/>
    <w:basedOn w:val="819"/>
    <w:uiPriority w:val="99"/>
  </w:style>
  <w:style w:type="paragraph" w:styleId="880" w:customStyle="1">
    <w:name w:val="Название объекта1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81" w:customStyle="1">
    <w:name w:val="Caption Char"/>
    <w:uiPriority w:val="99"/>
  </w:style>
  <w:style w:type="table" w:styleId="882" w:customStyle="1">
    <w:name w:val="Table Grid Light"/>
    <w:basedOn w:val="8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83" w:customStyle="1">
    <w:name w:val="Таблица простая 11"/>
    <w:basedOn w:val="8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4" w:customStyle="1">
    <w:name w:val="Таблица простая 21"/>
    <w:basedOn w:val="8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 w:customStyle="1">
    <w:name w:val="Таблица простая 3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6" w:customStyle="1">
    <w:name w:val="Таблица простая 4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Таблица простая 5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8" w:customStyle="1">
    <w:name w:val="Таблица-сетка 1 светл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Таблица-сетка 2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Таблица-сетка 3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Таблица-сетка 41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0" w:customStyle="1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911" w:customStyle="1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12" w:customStyle="1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13" w:customStyle="1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14" w:customStyle="1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915" w:customStyle="1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16" w:customStyle="1">
    <w:name w:val="Таблица-сетка 5 тем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7" w:customStyle="1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918" w:customStyle="1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19" w:customStyle="1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20" w:customStyle="1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21" w:customStyle="1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922" w:customStyle="1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23" w:customStyle="1">
    <w:name w:val="Таблица-сетка 6 цвет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4" w:customStyle="1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925" w:customStyle="1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26" w:customStyle="1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27" w:customStyle="1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28" w:customStyle="1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29" w:customStyle="1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30" w:customStyle="1">
    <w:name w:val="Таблица-сетка 7 цвет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Список-таблица 1 светлая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Список-таблица 2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5" w:customStyle="1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946" w:customStyle="1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47" w:customStyle="1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48" w:customStyle="1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49" w:customStyle="1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50" w:customStyle="1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51" w:customStyle="1">
    <w:name w:val="Список-таблица 3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Список-таблица 4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Список-таблица 5 тем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6" w:customStyle="1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7" w:customStyle="1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8" w:customStyle="1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9" w:customStyle="1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Список-таблица 6 цвет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3" w:customStyle="1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74" w:customStyle="1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75" w:customStyle="1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76" w:customStyle="1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77" w:customStyle="1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78" w:customStyle="1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79" w:customStyle="1">
    <w:name w:val="Список-таблица 7 цвет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Lined - Accent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7" w:customStyle="1">
    <w:name w:val="Lined - Accent 1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88" w:customStyle="1">
    <w:name w:val="Lined - Accent 2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89" w:customStyle="1">
    <w:name w:val="Lined - Accent 3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90" w:customStyle="1">
    <w:name w:val="Lined - Accent 4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91" w:customStyle="1">
    <w:name w:val="Lined - Accent 5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92" w:customStyle="1">
    <w:name w:val="Lined - Accent 6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93" w:customStyle="1">
    <w:name w:val="Bordered &amp; Lined - Accent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4" w:customStyle="1">
    <w:name w:val="Bordered &amp; Lined - Accent 1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95" w:customStyle="1">
    <w:name w:val="Bordered &amp; Lined - Accent 2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96" w:customStyle="1">
    <w:name w:val="Bordered &amp; Lined - Accent 3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97" w:customStyle="1">
    <w:name w:val="Bordered &amp; Lined - Accent 4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98" w:customStyle="1">
    <w:name w:val="Bordered &amp; Lined - Accent 5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99" w:customStyle="1">
    <w:name w:val="Bordered &amp; Lined - Accent 6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00" w:customStyle="1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1" w:customStyle="1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1002" w:customStyle="1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03" w:customStyle="1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04" w:customStyle="1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05" w:customStyle="1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1006" w:customStyle="1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07">
    <w:name w:val="Hyperlink"/>
    <w:uiPriority w:val="99"/>
    <w:unhideWhenUsed/>
    <w:rPr>
      <w:color w:val="0563c1" w:themeColor="hyperlink"/>
      <w:u w:val="single"/>
    </w:rPr>
  </w:style>
  <w:style w:type="character" w:styleId="1008" w:customStyle="1">
    <w:name w:val="Footnote Text Char"/>
    <w:uiPriority w:val="99"/>
    <w:rPr>
      <w:sz w:val="18"/>
    </w:rPr>
  </w:style>
  <w:style w:type="paragraph" w:styleId="1009">
    <w:name w:val="endnote text"/>
    <w:basedOn w:val="818"/>
    <w:link w:val="1010"/>
    <w:uiPriority w:val="99"/>
    <w:semiHidden/>
    <w:unhideWhenUsed/>
    <w:rPr>
      <w:sz w:val="20"/>
    </w:rPr>
  </w:style>
  <w:style w:type="character" w:styleId="1010" w:customStyle="1">
    <w:name w:val="Текст концевой сноски Знак"/>
    <w:link w:val="1009"/>
    <w:uiPriority w:val="99"/>
    <w:rPr>
      <w:sz w:val="20"/>
    </w:rPr>
  </w:style>
  <w:style w:type="character" w:styleId="1011">
    <w:name w:val="endnote reference"/>
    <w:basedOn w:val="819"/>
    <w:uiPriority w:val="99"/>
    <w:semiHidden/>
    <w:unhideWhenUsed/>
    <w:rPr>
      <w:vertAlign w:val="superscript"/>
    </w:rPr>
  </w:style>
  <w:style w:type="paragraph" w:styleId="1012">
    <w:name w:val="toc 1"/>
    <w:basedOn w:val="818"/>
    <w:next w:val="818"/>
    <w:uiPriority w:val="39"/>
    <w:unhideWhenUsed/>
    <w:pPr>
      <w:spacing w:after="57"/>
    </w:pPr>
  </w:style>
  <w:style w:type="paragraph" w:styleId="1013">
    <w:name w:val="toc 2"/>
    <w:basedOn w:val="818"/>
    <w:next w:val="818"/>
    <w:uiPriority w:val="39"/>
    <w:unhideWhenUsed/>
    <w:pPr>
      <w:ind w:left="283"/>
      <w:spacing w:after="57"/>
    </w:pPr>
  </w:style>
  <w:style w:type="paragraph" w:styleId="1014">
    <w:name w:val="toc 3"/>
    <w:basedOn w:val="818"/>
    <w:next w:val="818"/>
    <w:uiPriority w:val="39"/>
    <w:unhideWhenUsed/>
    <w:pPr>
      <w:ind w:left="567"/>
      <w:spacing w:after="57"/>
    </w:pPr>
  </w:style>
  <w:style w:type="paragraph" w:styleId="1015">
    <w:name w:val="toc 4"/>
    <w:basedOn w:val="818"/>
    <w:next w:val="818"/>
    <w:uiPriority w:val="39"/>
    <w:unhideWhenUsed/>
    <w:pPr>
      <w:ind w:left="850"/>
      <w:spacing w:after="57"/>
    </w:pPr>
  </w:style>
  <w:style w:type="paragraph" w:styleId="1016">
    <w:name w:val="toc 5"/>
    <w:basedOn w:val="818"/>
    <w:next w:val="818"/>
    <w:uiPriority w:val="39"/>
    <w:unhideWhenUsed/>
    <w:pPr>
      <w:ind w:left="1134"/>
      <w:spacing w:after="57"/>
    </w:pPr>
  </w:style>
  <w:style w:type="paragraph" w:styleId="1017">
    <w:name w:val="toc 6"/>
    <w:basedOn w:val="818"/>
    <w:next w:val="818"/>
    <w:uiPriority w:val="39"/>
    <w:unhideWhenUsed/>
    <w:pPr>
      <w:ind w:left="1417"/>
      <w:spacing w:after="57"/>
    </w:pPr>
  </w:style>
  <w:style w:type="paragraph" w:styleId="1018">
    <w:name w:val="toc 7"/>
    <w:basedOn w:val="818"/>
    <w:next w:val="818"/>
    <w:uiPriority w:val="39"/>
    <w:unhideWhenUsed/>
    <w:pPr>
      <w:ind w:left="1701"/>
      <w:spacing w:after="57"/>
    </w:pPr>
  </w:style>
  <w:style w:type="paragraph" w:styleId="1019">
    <w:name w:val="toc 8"/>
    <w:basedOn w:val="818"/>
    <w:next w:val="818"/>
    <w:uiPriority w:val="39"/>
    <w:unhideWhenUsed/>
    <w:pPr>
      <w:ind w:left="1984"/>
      <w:spacing w:after="57"/>
    </w:pPr>
  </w:style>
  <w:style w:type="paragraph" w:styleId="1020">
    <w:name w:val="toc 9"/>
    <w:basedOn w:val="818"/>
    <w:next w:val="818"/>
    <w:uiPriority w:val="39"/>
    <w:unhideWhenUsed/>
    <w:pPr>
      <w:ind w:left="2268"/>
      <w:spacing w:after="57"/>
    </w:pPr>
  </w:style>
  <w:style w:type="paragraph" w:styleId="1021">
    <w:name w:val="TOC Heading"/>
    <w:uiPriority w:val="39"/>
    <w:unhideWhenUsed/>
  </w:style>
  <w:style w:type="paragraph" w:styleId="1022">
    <w:name w:val="table of figures"/>
    <w:basedOn w:val="818"/>
    <w:next w:val="818"/>
    <w:uiPriority w:val="99"/>
    <w:unhideWhenUsed/>
  </w:style>
  <w:style w:type="character" w:styleId="1023" w:customStyle="1">
    <w:name w:val="Заголовок 2 Знак"/>
    <w:basedOn w:val="819"/>
    <w:link w:val="842"/>
    <w:uiPriority w:val="9"/>
    <w:rPr>
      <w:rFonts w:ascii="Times New Roman" w:hAnsi="Times New Roman" w:cs="Times New Roman" w:eastAsiaTheme="majorEastAsia"/>
      <w:b/>
      <w:sz w:val="28"/>
      <w:szCs w:val="26"/>
    </w:rPr>
  </w:style>
  <w:style w:type="character" w:styleId="1024" w:customStyle="1">
    <w:name w:val="Заголовок 3 Знак"/>
    <w:basedOn w:val="819"/>
    <w:link w:val="843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1025" w:customStyle="1">
    <w:name w:val="Заголовок 4 Знак"/>
    <w:basedOn w:val="819"/>
    <w:link w:val="844"/>
    <w:uiPriority w:val="9"/>
    <w:rPr>
      <w:rFonts w:ascii="Times New Roman" w:hAnsi="Times New Roman" w:cs="Times New Roman"/>
    </w:rPr>
  </w:style>
  <w:style w:type="paragraph" w:styleId="1026">
    <w:name w:val="Body Text"/>
    <w:basedOn w:val="818"/>
    <w:link w:val="1027"/>
    <w:uiPriority w:val="1"/>
    <w:qFormat/>
    <w:pPr>
      <w:widowControl w:val="off"/>
    </w:pPr>
    <w:rPr>
      <w:sz w:val="29"/>
      <w:szCs w:val="29"/>
      <w:lang w:val="ru-RU"/>
    </w:rPr>
  </w:style>
  <w:style w:type="character" w:styleId="1027" w:customStyle="1">
    <w:name w:val="Основной текст Знак"/>
    <w:basedOn w:val="819"/>
    <w:link w:val="1026"/>
    <w:uiPriority w:val="1"/>
    <w:rPr>
      <w:rFonts w:ascii="Times New Roman" w:hAnsi="Times New Roman" w:eastAsia="Times New Roman" w:cs="Times New Roman"/>
      <w:sz w:val="29"/>
      <w:szCs w:val="29"/>
    </w:rPr>
  </w:style>
  <w:style w:type="paragraph" w:styleId="1028" w:customStyle="1">
    <w:name w:val="Обычный1"/>
    <w:qFormat/>
    <w:pPr>
      <w:spacing w:after="200" w:line="276" w:lineRule="auto"/>
    </w:pPr>
    <w:rPr>
      <w:rFonts w:ascii="Calibri" w:hAnsi="Calibri" w:eastAsia="Times New Roman" w:cs="Calibri"/>
    </w:rPr>
  </w:style>
  <w:style w:type="paragraph" w:styleId="1029">
    <w:name w:val="List Paragraph"/>
    <w:basedOn w:val="818"/>
    <w:uiPriority w:val="99"/>
    <w:qFormat/>
    <w:pPr>
      <w:ind w:left="119" w:firstLine="709"/>
      <w:jc w:val="both"/>
      <w:widowControl w:val="off"/>
    </w:pPr>
    <w:rPr>
      <w:sz w:val="22"/>
      <w:szCs w:val="22"/>
      <w:lang w:val="ru-RU"/>
    </w:rPr>
  </w:style>
  <w:style w:type="paragraph" w:styleId="1030">
    <w:name w:val="Normal (Web)"/>
    <w:basedOn w:val="818"/>
    <w:uiPriority w:val="99"/>
    <w:unhideWhenUsed/>
    <w:pPr>
      <w:spacing w:before="100" w:beforeAutospacing="1" w:after="100" w:afterAutospacing="1"/>
    </w:pPr>
    <w:rPr>
      <w:lang w:val="ru-RU" w:eastAsia="ru-RU"/>
    </w:rPr>
  </w:style>
  <w:style w:type="paragraph" w:styleId="1031" w:customStyle="1">
    <w:name w:val="Верхний колонтитул1"/>
    <w:basedOn w:val="818"/>
    <w:link w:val="1032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val="ru-RU"/>
    </w:rPr>
  </w:style>
  <w:style w:type="character" w:styleId="1032" w:customStyle="1">
    <w:name w:val="Верхний колонтитул Знак"/>
    <w:basedOn w:val="819"/>
    <w:link w:val="1031"/>
    <w:uiPriority w:val="99"/>
  </w:style>
  <w:style w:type="paragraph" w:styleId="1033" w:customStyle="1">
    <w:name w:val="Нижний колонтитул1"/>
    <w:basedOn w:val="818"/>
    <w:link w:val="1034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val="ru-RU"/>
    </w:rPr>
  </w:style>
  <w:style w:type="character" w:styleId="1034" w:customStyle="1">
    <w:name w:val="Нижний колонтитул Знак"/>
    <w:basedOn w:val="819"/>
    <w:link w:val="1033"/>
    <w:uiPriority w:val="99"/>
  </w:style>
  <w:style w:type="paragraph" w:styleId="103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36">
    <w:name w:val="footnote reference"/>
    <w:uiPriority w:val="99"/>
    <w:unhideWhenUsed/>
    <w:rPr>
      <w:rFonts w:ascii="Times New Roman" w:hAnsi="Times New Roman" w:cs="Times New Roman"/>
      <w:vertAlign w:val="superscript"/>
    </w:rPr>
  </w:style>
  <w:style w:type="table" w:styleId="1037" w:customStyle="1">
    <w:name w:val="Сетка таблицы1"/>
    <w:basedOn w:val="820"/>
    <w:next w:val="1038"/>
    <w:uiPriority w:val="39"/>
    <w:pPr>
      <w:ind w:firstLine="851"/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8">
    <w:name w:val="Table Grid"/>
    <w:basedOn w:val="8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9" w:customStyle="1">
    <w:name w:val="Сетка таблицы2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40" w:customStyle="1">
    <w:name w:val="Table Paragraph"/>
    <w:basedOn w:val="818"/>
    <w:uiPriority w:val="1"/>
    <w:qFormat/>
    <w:pPr>
      <w:widowControl w:val="off"/>
    </w:pPr>
    <w:rPr>
      <w:sz w:val="22"/>
      <w:szCs w:val="22"/>
      <w:lang w:val="ru-RU"/>
    </w:rPr>
  </w:style>
  <w:style w:type="paragraph" w:styleId="1041" w:customStyle="1">
    <w:name w:val="ConsPlusNormal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</w:style>
  <w:style w:type="paragraph" w:styleId="1042">
    <w:name w:val="footnote text"/>
    <w:basedOn w:val="818"/>
    <w:link w:val="1043"/>
    <w:uiPriority w:val="99"/>
    <w:unhideWhenUsed/>
    <w:rPr>
      <w:rFonts w:eastAsiaTheme="minorHAnsi" w:cstheme="minorBidi"/>
      <w:sz w:val="18"/>
      <w:szCs w:val="20"/>
      <w:lang w:val="ru-RU"/>
    </w:rPr>
  </w:style>
  <w:style w:type="character" w:styleId="1043" w:customStyle="1">
    <w:name w:val="Текст сноски Знак"/>
    <w:basedOn w:val="819"/>
    <w:link w:val="1042"/>
    <w:uiPriority w:val="99"/>
    <w:rPr>
      <w:rFonts w:ascii="Times New Roman" w:hAnsi="Times New Roman"/>
      <w:sz w:val="18"/>
      <w:szCs w:val="20"/>
    </w:rPr>
  </w:style>
  <w:style w:type="paragraph" w:styleId="1044">
    <w:name w:val="Balloon Text"/>
    <w:basedOn w:val="818"/>
    <w:link w:val="1045"/>
    <w:rPr>
      <w:rFonts w:ascii="Tahoma" w:hAnsi="Tahoma" w:cs="Tahoma"/>
      <w:sz w:val="16"/>
      <w:szCs w:val="16"/>
    </w:rPr>
  </w:style>
  <w:style w:type="character" w:styleId="1045" w:customStyle="1">
    <w:name w:val="Текст выноски Знак"/>
    <w:basedOn w:val="819"/>
    <w:link w:val="1044"/>
    <w:rPr>
      <w:rFonts w:ascii="Tahoma" w:hAnsi="Tahoma" w:eastAsia="Times New Roman" w:cs="Tahoma"/>
      <w:sz w:val="16"/>
      <w:szCs w:val="16"/>
      <w:lang w:val="en-US"/>
    </w:rPr>
  </w:style>
  <w:style w:type="character" w:styleId="1046" w:customStyle="1">
    <w:name w:val="layout"/>
    <w:basedOn w:val="819"/>
  </w:style>
  <w:style w:type="paragraph" w:styleId="1047">
    <w:name w:val="Body Text Indent 3"/>
    <w:basedOn w:val="818"/>
    <w:link w:val="1048"/>
    <w:uiPriority w:val="99"/>
    <w:unhideWhenUsed/>
    <w:pPr>
      <w:ind w:left="283"/>
      <w:spacing w:after="120"/>
    </w:pPr>
    <w:rPr>
      <w:sz w:val="16"/>
      <w:szCs w:val="16"/>
    </w:rPr>
  </w:style>
  <w:style w:type="character" w:styleId="1048" w:customStyle="1">
    <w:name w:val="Основной текст с отступом 3 Знак"/>
    <w:basedOn w:val="819"/>
    <w:link w:val="1047"/>
    <w:uiPriority w:val="99"/>
    <w:rPr>
      <w:rFonts w:ascii="Times New Roman" w:hAnsi="Times New Roman" w:eastAsia="Times New Roman" w:cs="Times New Roman"/>
      <w:sz w:val="16"/>
      <w:szCs w:val="16"/>
      <w:lang w:val="en-US"/>
    </w:rPr>
  </w:style>
  <w:style w:type="paragraph" w:styleId="104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ostankov</dc:creator>
  <cp:revision>6</cp:revision>
  <dcterms:created xsi:type="dcterms:W3CDTF">2025-05-13T08:09:00Z</dcterms:created>
  <dcterms:modified xsi:type="dcterms:W3CDTF">2025-05-15T10:30:10Z</dcterms:modified>
</cp:coreProperties>
</file>